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352" w:rsidRDefault="000A4352" w:rsidP="005D568A">
      <w:pPr>
        <w:pStyle w:val="BodyText"/>
        <w:jc w:val="center"/>
        <w:rPr>
          <w:sz w:val="28"/>
          <w:szCs w:val="28"/>
        </w:rPr>
      </w:pPr>
    </w:p>
    <w:p w:rsidR="005D568A" w:rsidRPr="00514680" w:rsidRDefault="005D568A" w:rsidP="005D568A">
      <w:pPr>
        <w:pStyle w:val="BodyText"/>
        <w:jc w:val="center"/>
        <w:rPr>
          <w:sz w:val="28"/>
          <w:szCs w:val="28"/>
        </w:rPr>
      </w:pPr>
      <w:r w:rsidRPr="00514680">
        <w:rPr>
          <w:sz w:val="28"/>
          <w:szCs w:val="28"/>
        </w:rPr>
        <w:t>The Effects of Auckland’s Metropolitan Urban Limit on Land Prices</w:t>
      </w:r>
    </w:p>
    <w:p w:rsidR="005D568A" w:rsidRPr="00514680" w:rsidRDefault="005D568A" w:rsidP="005D568A">
      <w:pPr>
        <w:jc w:val="center"/>
      </w:pPr>
      <w:r>
        <w:t>Guanyu Zheng</w:t>
      </w:r>
      <w:r w:rsidR="00723599">
        <w:rPr>
          <w:rStyle w:val="FootnoteReference"/>
        </w:rPr>
        <w:footnoteReference w:id="1"/>
      </w:r>
    </w:p>
    <w:p w:rsidR="005D568A" w:rsidRPr="00514680" w:rsidRDefault="005D568A" w:rsidP="005D568A">
      <w:pPr>
        <w:jc w:val="center"/>
      </w:pPr>
      <w:r w:rsidRPr="00514680">
        <w:t>New Zealand Productivity Commission</w:t>
      </w:r>
    </w:p>
    <w:p w:rsidR="005D568A" w:rsidRPr="00514680" w:rsidRDefault="005D568A" w:rsidP="005D568A">
      <w:pPr>
        <w:jc w:val="center"/>
      </w:pPr>
    </w:p>
    <w:p w:rsidR="005D568A" w:rsidRPr="00576F8A" w:rsidRDefault="005D568A" w:rsidP="005D568A">
      <w:pPr>
        <w:jc w:val="center"/>
        <w:rPr>
          <w:sz w:val="22"/>
        </w:rPr>
      </w:pPr>
      <w:r w:rsidRPr="00576F8A">
        <w:rPr>
          <w:sz w:val="22"/>
        </w:rPr>
        <w:t>Abstract</w:t>
      </w:r>
    </w:p>
    <w:p w:rsidR="00272E5B" w:rsidRPr="00675635" w:rsidRDefault="00272E5B" w:rsidP="00272E5B">
      <w:pPr>
        <w:autoSpaceDE w:val="0"/>
        <w:autoSpaceDN w:val="0"/>
        <w:adjustRightInd w:val="0"/>
        <w:rPr>
          <w:rFonts w:eastAsiaTheme="minorEastAsia"/>
          <w:sz w:val="22"/>
          <w:lang w:val="en-US" w:eastAsia="zh-CN"/>
        </w:rPr>
      </w:pPr>
      <w:r>
        <w:rPr>
          <w:rFonts w:eastAsiaTheme="minorEastAsia" w:hint="eastAsia"/>
          <w:sz w:val="22"/>
          <w:lang w:val="en-US" w:eastAsia="zh-CN"/>
        </w:rPr>
        <w:t>This paper estimate</w:t>
      </w:r>
      <w:r>
        <w:rPr>
          <w:rFonts w:eastAsiaTheme="minorEastAsia"/>
          <w:sz w:val="22"/>
          <w:lang w:val="en-US" w:eastAsia="zh-CN"/>
        </w:rPr>
        <w:t>s</w:t>
      </w:r>
      <w:r>
        <w:rPr>
          <w:rFonts w:eastAsiaTheme="minorEastAsia" w:hint="eastAsia"/>
          <w:sz w:val="22"/>
          <w:lang w:val="en-US" w:eastAsia="zh-CN"/>
        </w:rPr>
        <w:t xml:space="preserve"> the impact of Auckland</w:t>
      </w:r>
      <w:r>
        <w:rPr>
          <w:rFonts w:eastAsiaTheme="minorEastAsia"/>
          <w:sz w:val="22"/>
          <w:lang w:val="en-US" w:eastAsia="zh-CN"/>
        </w:rPr>
        <w:t>’</w:t>
      </w:r>
      <w:r>
        <w:rPr>
          <w:rFonts w:eastAsiaTheme="minorEastAsia" w:hint="eastAsia"/>
          <w:sz w:val="22"/>
          <w:lang w:val="en-US" w:eastAsia="zh-CN"/>
        </w:rPr>
        <w:t>s M</w:t>
      </w:r>
      <w:r>
        <w:rPr>
          <w:rFonts w:eastAsiaTheme="minorEastAsia"/>
          <w:sz w:val="22"/>
          <w:lang w:val="en-US" w:eastAsia="zh-CN"/>
        </w:rPr>
        <w:t xml:space="preserve">etropolitan </w:t>
      </w:r>
      <w:r>
        <w:rPr>
          <w:rFonts w:eastAsiaTheme="minorEastAsia" w:hint="eastAsia"/>
          <w:sz w:val="22"/>
          <w:lang w:val="en-US" w:eastAsia="zh-CN"/>
        </w:rPr>
        <w:t>U</w:t>
      </w:r>
      <w:r>
        <w:rPr>
          <w:rFonts w:eastAsiaTheme="minorEastAsia"/>
          <w:sz w:val="22"/>
          <w:lang w:val="en-US" w:eastAsia="zh-CN"/>
        </w:rPr>
        <w:t xml:space="preserve">rban </w:t>
      </w:r>
      <w:r>
        <w:rPr>
          <w:rFonts w:eastAsiaTheme="minorEastAsia" w:hint="eastAsia"/>
          <w:sz w:val="22"/>
          <w:lang w:val="en-US" w:eastAsia="zh-CN"/>
        </w:rPr>
        <w:t>L</w:t>
      </w:r>
      <w:r>
        <w:rPr>
          <w:rFonts w:eastAsiaTheme="minorEastAsia"/>
          <w:sz w:val="22"/>
          <w:lang w:val="en-US" w:eastAsia="zh-CN"/>
        </w:rPr>
        <w:t>imit (MUL)</w:t>
      </w:r>
      <w:r>
        <w:rPr>
          <w:rFonts w:eastAsiaTheme="minorEastAsia" w:hint="eastAsia"/>
          <w:sz w:val="22"/>
          <w:lang w:val="en-US" w:eastAsia="zh-CN"/>
        </w:rPr>
        <w:t xml:space="preserve"> on land </w:t>
      </w:r>
      <w:r>
        <w:rPr>
          <w:rFonts w:eastAsiaTheme="minorEastAsia"/>
          <w:sz w:val="22"/>
          <w:lang w:val="en-US" w:eastAsia="zh-CN"/>
        </w:rPr>
        <w:t>values</w:t>
      </w:r>
      <w:r>
        <w:rPr>
          <w:rFonts w:eastAsiaTheme="minorEastAsia" w:hint="eastAsia"/>
          <w:sz w:val="22"/>
          <w:lang w:val="en-US" w:eastAsia="zh-CN"/>
        </w:rPr>
        <w:t xml:space="preserve"> in </w:t>
      </w:r>
      <w:r>
        <w:rPr>
          <w:rFonts w:eastAsiaTheme="minorEastAsia"/>
          <w:sz w:val="22"/>
          <w:lang w:val="en-US" w:eastAsia="zh-CN"/>
        </w:rPr>
        <w:t xml:space="preserve">the </w:t>
      </w:r>
      <w:r>
        <w:rPr>
          <w:rFonts w:eastAsiaTheme="minorEastAsia" w:hint="eastAsia"/>
          <w:sz w:val="22"/>
          <w:lang w:val="en-US" w:eastAsia="zh-CN"/>
        </w:rPr>
        <w:t xml:space="preserve">greater Auckland region. </w:t>
      </w:r>
      <w:r>
        <w:rPr>
          <w:rFonts w:eastAsiaTheme="minorEastAsia"/>
          <w:sz w:val="22"/>
          <w:lang w:val="en-US" w:eastAsia="zh-CN"/>
        </w:rPr>
        <w:t>The model</w:t>
      </w:r>
      <w:r>
        <w:rPr>
          <w:rFonts w:eastAsiaTheme="minorEastAsia" w:hint="eastAsia"/>
          <w:sz w:val="22"/>
          <w:lang w:val="en-US" w:eastAsia="zh-CN"/>
        </w:rPr>
        <w:t xml:space="preserve"> extend</w:t>
      </w:r>
      <w:r>
        <w:rPr>
          <w:rFonts w:eastAsiaTheme="minorEastAsia"/>
          <w:sz w:val="22"/>
          <w:lang w:val="en-US" w:eastAsia="zh-CN"/>
        </w:rPr>
        <w:t>s</w:t>
      </w:r>
      <w:r>
        <w:rPr>
          <w:rFonts w:eastAsiaTheme="minorEastAsia" w:hint="eastAsia"/>
          <w:sz w:val="22"/>
          <w:lang w:val="en-US" w:eastAsia="zh-CN"/>
        </w:rPr>
        <w:t xml:space="preserve"> Grimes and Liang (2009)</w:t>
      </w:r>
      <w:r>
        <w:rPr>
          <w:rFonts w:eastAsiaTheme="minorEastAsia"/>
          <w:sz w:val="22"/>
          <w:lang w:val="en-US" w:eastAsia="zh-CN"/>
        </w:rPr>
        <w:t xml:space="preserve"> which </w:t>
      </w:r>
      <w:proofErr w:type="spellStart"/>
      <w:r>
        <w:rPr>
          <w:rFonts w:eastAsiaTheme="minorEastAsia"/>
          <w:sz w:val="22"/>
          <w:lang w:val="en-US" w:eastAsia="zh-CN"/>
        </w:rPr>
        <w:t>analys</w:t>
      </w:r>
      <w:r w:rsidRPr="00675635">
        <w:rPr>
          <w:rFonts w:eastAsiaTheme="minorEastAsia"/>
          <w:sz w:val="22"/>
          <w:lang w:val="en-US" w:eastAsia="zh-CN"/>
        </w:rPr>
        <w:t>e</w:t>
      </w:r>
      <w:r>
        <w:rPr>
          <w:rFonts w:eastAsiaTheme="minorEastAsia"/>
          <w:sz w:val="22"/>
          <w:lang w:val="en-US" w:eastAsia="zh-CN"/>
        </w:rPr>
        <w:t>d</w:t>
      </w:r>
      <w:proofErr w:type="spellEnd"/>
      <w:r>
        <w:rPr>
          <w:rFonts w:eastAsiaTheme="minorEastAsia"/>
          <w:sz w:val="22"/>
          <w:lang w:val="en-US" w:eastAsia="zh-CN"/>
        </w:rPr>
        <w:t xml:space="preserve"> the </w:t>
      </w:r>
      <w:r w:rsidRPr="00675635">
        <w:rPr>
          <w:rFonts w:eastAsiaTheme="minorEastAsia"/>
          <w:sz w:val="22"/>
          <w:lang w:val="en-US" w:eastAsia="zh-CN"/>
        </w:rPr>
        <w:t>effects o</w:t>
      </w:r>
      <w:r>
        <w:rPr>
          <w:rFonts w:eastAsiaTheme="minorEastAsia"/>
          <w:sz w:val="22"/>
          <w:lang w:val="en-US" w:eastAsia="zh-CN"/>
        </w:rPr>
        <w:t xml:space="preserve">f the MUL on mean land values across </w:t>
      </w:r>
      <w:r w:rsidRPr="00675635">
        <w:rPr>
          <w:rFonts w:eastAsiaTheme="minorEastAsia"/>
          <w:sz w:val="22"/>
          <w:lang w:val="en-US" w:eastAsia="zh-CN"/>
        </w:rPr>
        <w:t xml:space="preserve">Auckland. </w:t>
      </w:r>
      <w:r>
        <w:rPr>
          <w:rFonts w:eastAsiaTheme="minorEastAsia"/>
          <w:sz w:val="22"/>
          <w:lang w:val="en-US" w:eastAsia="zh-CN"/>
        </w:rPr>
        <w:t>This paper, instead,</w:t>
      </w:r>
      <w:r>
        <w:rPr>
          <w:rFonts w:eastAsiaTheme="minorEastAsia" w:hint="eastAsia"/>
          <w:sz w:val="22"/>
          <w:lang w:val="en-US" w:eastAsia="zh-CN"/>
        </w:rPr>
        <w:t xml:space="preserve"> us</w:t>
      </w:r>
      <w:r>
        <w:rPr>
          <w:rFonts w:eastAsiaTheme="minorEastAsia"/>
          <w:sz w:val="22"/>
          <w:lang w:val="en-US" w:eastAsia="zh-CN"/>
        </w:rPr>
        <w:t>es</w:t>
      </w:r>
      <w:r>
        <w:rPr>
          <w:rFonts w:eastAsiaTheme="minorEastAsia" w:hint="eastAsia"/>
          <w:sz w:val="22"/>
          <w:lang w:val="en-US" w:eastAsia="zh-CN"/>
        </w:rPr>
        <w:t xml:space="preserve"> </w:t>
      </w:r>
      <w:proofErr w:type="spellStart"/>
      <w:r>
        <w:rPr>
          <w:rFonts w:eastAsiaTheme="minorEastAsia" w:hint="eastAsia"/>
          <w:sz w:val="22"/>
          <w:lang w:val="en-US" w:eastAsia="zh-CN"/>
        </w:rPr>
        <w:t>quantile</w:t>
      </w:r>
      <w:proofErr w:type="spellEnd"/>
      <w:r>
        <w:rPr>
          <w:rFonts w:eastAsiaTheme="minorEastAsia" w:hint="eastAsia"/>
          <w:sz w:val="22"/>
          <w:lang w:val="en-US" w:eastAsia="zh-CN"/>
        </w:rPr>
        <w:t xml:space="preserve"> regression and focus</w:t>
      </w:r>
      <w:r>
        <w:rPr>
          <w:rFonts w:eastAsiaTheme="minorEastAsia"/>
          <w:sz w:val="22"/>
          <w:lang w:val="en-US" w:eastAsia="zh-CN"/>
        </w:rPr>
        <w:t>es</w:t>
      </w:r>
      <w:r>
        <w:rPr>
          <w:rFonts w:eastAsiaTheme="minorEastAsia" w:hint="eastAsia"/>
          <w:sz w:val="22"/>
          <w:lang w:val="en-US" w:eastAsia="zh-CN"/>
        </w:rPr>
        <w:t xml:space="preserve"> on land price </w:t>
      </w:r>
      <w:proofErr w:type="spellStart"/>
      <w:r>
        <w:rPr>
          <w:rFonts w:eastAsiaTheme="minorEastAsia" w:hint="eastAsia"/>
          <w:sz w:val="22"/>
          <w:lang w:val="en-US" w:eastAsia="zh-CN"/>
        </w:rPr>
        <w:t>deciles</w:t>
      </w:r>
      <w:proofErr w:type="spellEnd"/>
      <w:r>
        <w:rPr>
          <w:rFonts w:eastAsiaTheme="minorEastAsia" w:hint="eastAsia"/>
          <w:sz w:val="22"/>
          <w:lang w:val="en-US" w:eastAsia="zh-CN"/>
        </w:rPr>
        <w:t xml:space="preserve">. The major advantage of </w:t>
      </w:r>
      <w:proofErr w:type="spellStart"/>
      <w:r>
        <w:rPr>
          <w:rFonts w:eastAsiaTheme="minorEastAsia" w:hint="eastAsia"/>
          <w:sz w:val="22"/>
          <w:lang w:val="en-US" w:eastAsia="zh-CN"/>
        </w:rPr>
        <w:t>quantile</w:t>
      </w:r>
      <w:proofErr w:type="spellEnd"/>
      <w:r>
        <w:rPr>
          <w:rFonts w:eastAsiaTheme="minorEastAsia" w:hint="eastAsia"/>
          <w:sz w:val="22"/>
          <w:lang w:val="en-US" w:eastAsia="zh-CN"/>
        </w:rPr>
        <w:t xml:space="preserve"> regression is to provide a comprehensive analysis o</w:t>
      </w:r>
      <w:r>
        <w:rPr>
          <w:rFonts w:eastAsiaTheme="minorEastAsia"/>
          <w:sz w:val="22"/>
          <w:lang w:val="en-US" w:eastAsia="zh-CN"/>
        </w:rPr>
        <w:t>f</w:t>
      </w:r>
      <w:r>
        <w:rPr>
          <w:rFonts w:eastAsiaTheme="minorEastAsia" w:hint="eastAsia"/>
          <w:sz w:val="22"/>
          <w:lang w:val="en-US" w:eastAsia="zh-CN"/>
        </w:rPr>
        <w:t xml:space="preserve"> central tendency (e.g. median) and dispersion (e.g. lower or upper quartile) on </w:t>
      </w:r>
      <w:r>
        <w:rPr>
          <w:rFonts w:eastAsiaTheme="minorEastAsia"/>
          <w:sz w:val="22"/>
          <w:lang w:val="en-US" w:eastAsia="zh-CN"/>
        </w:rPr>
        <w:t xml:space="preserve">the </w:t>
      </w:r>
      <w:r>
        <w:rPr>
          <w:rFonts w:eastAsiaTheme="minorEastAsia" w:hint="eastAsia"/>
          <w:sz w:val="22"/>
          <w:lang w:val="en-US" w:eastAsia="zh-CN"/>
        </w:rPr>
        <w:t xml:space="preserve">relationship between </w:t>
      </w:r>
      <w:r>
        <w:rPr>
          <w:rFonts w:eastAsiaTheme="minorEastAsia"/>
          <w:sz w:val="22"/>
          <w:lang w:val="en-US" w:eastAsia="zh-CN"/>
        </w:rPr>
        <w:t xml:space="preserve">the </w:t>
      </w:r>
      <w:r>
        <w:rPr>
          <w:rFonts w:eastAsiaTheme="minorEastAsia" w:hint="eastAsia"/>
          <w:sz w:val="22"/>
          <w:lang w:val="en-US" w:eastAsia="zh-CN"/>
        </w:rPr>
        <w:t xml:space="preserve">variables. </w:t>
      </w:r>
      <w:r>
        <w:rPr>
          <w:rFonts w:eastAsiaTheme="minorEastAsia"/>
          <w:sz w:val="22"/>
          <w:lang w:val="en-US" w:eastAsia="zh-CN"/>
        </w:rPr>
        <w:t>The r</w:t>
      </w:r>
      <w:r>
        <w:rPr>
          <w:rFonts w:eastAsiaTheme="minorEastAsia" w:hint="eastAsia"/>
          <w:sz w:val="22"/>
          <w:lang w:val="en-US" w:eastAsia="zh-CN"/>
        </w:rPr>
        <w:t>esults suggest that the impact of Auckland</w:t>
      </w:r>
      <w:r>
        <w:rPr>
          <w:rFonts w:eastAsiaTheme="minorEastAsia"/>
          <w:sz w:val="22"/>
          <w:lang w:val="en-US" w:eastAsia="zh-CN"/>
        </w:rPr>
        <w:t>’</w:t>
      </w:r>
      <w:r>
        <w:rPr>
          <w:rFonts w:eastAsiaTheme="minorEastAsia" w:hint="eastAsia"/>
          <w:sz w:val="22"/>
          <w:lang w:val="en-US" w:eastAsia="zh-CN"/>
        </w:rPr>
        <w:t xml:space="preserve">s MUL is statistically significant and uneven across land price </w:t>
      </w:r>
      <w:proofErr w:type="spellStart"/>
      <w:r>
        <w:rPr>
          <w:rFonts w:eastAsiaTheme="minorEastAsia" w:hint="eastAsia"/>
          <w:sz w:val="22"/>
          <w:lang w:val="en-US" w:eastAsia="zh-CN"/>
        </w:rPr>
        <w:t>deciles</w:t>
      </w:r>
      <w:proofErr w:type="spellEnd"/>
      <w:r>
        <w:rPr>
          <w:rFonts w:eastAsiaTheme="minorEastAsia"/>
          <w:sz w:val="22"/>
          <w:lang w:val="en-US" w:eastAsia="zh-CN"/>
        </w:rPr>
        <w:t xml:space="preserve">, with a greater impact on lower </w:t>
      </w:r>
      <w:proofErr w:type="spellStart"/>
      <w:r>
        <w:rPr>
          <w:rFonts w:eastAsiaTheme="minorEastAsia"/>
          <w:sz w:val="22"/>
          <w:lang w:val="en-US" w:eastAsia="zh-CN"/>
        </w:rPr>
        <w:t>decile</w:t>
      </w:r>
      <w:proofErr w:type="spellEnd"/>
      <w:r>
        <w:rPr>
          <w:rFonts w:eastAsiaTheme="minorEastAsia"/>
          <w:sz w:val="22"/>
          <w:lang w:val="en-US" w:eastAsia="zh-CN"/>
        </w:rPr>
        <w:t xml:space="preserve"> land prices.</w:t>
      </w:r>
    </w:p>
    <w:p w:rsidR="005D568A" w:rsidRPr="00576F8A" w:rsidRDefault="005D568A" w:rsidP="005D568A">
      <w:pPr>
        <w:rPr>
          <w:sz w:val="22"/>
        </w:rPr>
      </w:pPr>
    </w:p>
    <w:p w:rsidR="005D568A" w:rsidRPr="000E48D8" w:rsidRDefault="005D568A" w:rsidP="005D568A">
      <w:pPr>
        <w:rPr>
          <w:b/>
          <w:sz w:val="28"/>
          <w:szCs w:val="28"/>
        </w:rPr>
      </w:pPr>
      <w:r w:rsidRPr="000E48D8">
        <w:rPr>
          <w:b/>
          <w:sz w:val="28"/>
          <w:szCs w:val="28"/>
        </w:rPr>
        <w:t>Introduction</w:t>
      </w:r>
    </w:p>
    <w:p w:rsidR="00272E5B" w:rsidRDefault="00272E5B" w:rsidP="00272E5B">
      <w:pPr>
        <w:rPr>
          <w:sz w:val="22"/>
        </w:rPr>
      </w:pPr>
      <w:r>
        <w:rPr>
          <w:sz w:val="22"/>
        </w:rPr>
        <w:t xml:space="preserve">The housing boom in </w:t>
      </w:r>
      <w:r>
        <w:rPr>
          <w:rFonts w:eastAsiaTheme="minorEastAsia" w:hint="eastAsia"/>
          <w:sz w:val="22"/>
          <w:lang w:eastAsia="zh-CN"/>
        </w:rPr>
        <w:t xml:space="preserve">the </w:t>
      </w:r>
      <w:r>
        <w:rPr>
          <w:sz w:val="22"/>
        </w:rPr>
        <w:t>2000s saw an unprecedented escalation in New Zealand house prices and deteriorati</w:t>
      </w:r>
      <w:r>
        <w:rPr>
          <w:rFonts w:eastAsiaTheme="minorEastAsia" w:hint="eastAsia"/>
          <w:sz w:val="22"/>
          <w:lang w:eastAsia="zh-CN"/>
        </w:rPr>
        <w:t>ng</w:t>
      </w:r>
      <w:r>
        <w:rPr>
          <w:sz w:val="22"/>
        </w:rPr>
        <w:t xml:space="preserve"> housing affordability. Real house prices almost doubled between 2001 and 2007, an average increase of approximately 12% per year. The steep increase in real house price has decreased the likelihood of households being able to purchase their own home and begin the climb up the property ladder. The Auckland region has 31% and 41% of New Zealand’s housing stock by number and value respectively. During the house price boom, the gap between house prices in Auckland and the rest of the country widened even further. The Auckland region faces the highest </w:t>
      </w:r>
      <w:r>
        <w:rPr>
          <w:rFonts w:eastAsiaTheme="minorEastAsia" w:hint="eastAsia"/>
          <w:sz w:val="22"/>
          <w:lang w:eastAsia="zh-CN"/>
        </w:rPr>
        <w:t xml:space="preserve">housing </w:t>
      </w:r>
      <w:r>
        <w:rPr>
          <w:sz w:val="22"/>
        </w:rPr>
        <w:t xml:space="preserve">affordability pressures in the country (New Zealand Productivity Commission 2012). </w:t>
      </w:r>
    </w:p>
    <w:p w:rsidR="005D568A" w:rsidRDefault="005D568A" w:rsidP="005D568A">
      <w:pPr>
        <w:rPr>
          <w:sz w:val="22"/>
        </w:rPr>
      </w:pPr>
    </w:p>
    <w:p w:rsidR="00272E5B" w:rsidRDefault="00272E5B" w:rsidP="00272E5B">
      <w:pPr>
        <w:rPr>
          <w:sz w:val="22"/>
        </w:rPr>
      </w:pPr>
      <w:r>
        <w:rPr>
          <w:sz w:val="22"/>
        </w:rPr>
        <w:t xml:space="preserve">Section prices have grown more quickly than house prices over the last twenty years suggesting that land supply has become less responsive to increasing demand for housing. Pressure on land prices has been particularly acute in Auckland – land accounts for around 60% of the cost of a new house in Auckland compared to 40% of the cost of building a new house in the rest of New Zealand (Figure 1). </w:t>
      </w:r>
    </w:p>
    <w:p w:rsidR="00272E5B" w:rsidRDefault="00272E5B" w:rsidP="00272E5B">
      <w:pPr>
        <w:rPr>
          <w:sz w:val="22"/>
        </w:rPr>
      </w:pPr>
    </w:p>
    <w:p w:rsidR="00272E5B" w:rsidRDefault="00272E5B" w:rsidP="00272E5B">
      <w:pPr>
        <w:rPr>
          <w:sz w:val="22"/>
        </w:rPr>
      </w:pPr>
      <w:r>
        <w:rPr>
          <w:sz w:val="22"/>
        </w:rPr>
        <w:t xml:space="preserve">Increasing house prices are indicative of supply side rigidities. Contributing factors include the availability of buildable land. </w:t>
      </w:r>
      <w:proofErr w:type="spellStart"/>
      <w:proofErr w:type="gramStart"/>
      <w:r>
        <w:rPr>
          <w:sz w:val="22"/>
        </w:rPr>
        <w:t>Gyouroko</w:t>
      </w:r>
      <w:proofErr w:type="spellEnd"/>
      <w:r>
        <w:rPr>
          <w:sz w:val="22"/>
        </w:rPr>
        <w:t xml:space="preserve"> (2009) notes that the strong positive relationship between restrictive land use policies and house prices</w:t>
      </w:r>
      <w:r w:rsidRPr="003D529B">
        <w:rPr>
          <w:sz w:val="22"/>
        </w:rPr>
        <w:t xml:space="preserve"> </w:t>
      </w:r>
      <w:r>
        <w:rPr>
          <w:sz w:val="22"/>
        </w:rPr>
        <w:t>is well-established.</w:t>
      </w:r>
      <w:proofErr w:type="gramEnd"/>
      <w:r>
        <w:rPr>
          <w:sz w:val="22"/>
        </w:rPr>
        <w:t xml:space="preserve"> </w:t>
      </w:r>
    </w:p>
    <w:p w:rsidR="005D568A" w:rsidRDefault="005D568A" w:rsidP="005D568A">
      <w:pPr>
        <w:rPr>
          <w:sz w:val="22"/>
        </w:rPr>
      </w:pPr>
    </w:p>
    <w:p w:rsidR="00723599" w:rsidRDefault="00272E5B" w:rsidP="00723599">
      <w:pPr>
        <w:spacing w:after="200" w:line="276" w:lineRule="auto"/>
        <w:rPr>
          <w:sz w:val="22"/>
        </w:rPr>
      </w:pPr>
      <w:r>
        <w:rPr>
          <w:sz w:val="22"/>
        </w:rPr>
        <w:t xml:space="preserve">In Auckland, the Metropolitan Urban Limit (MUL) is a zoning restriction that defines “the boundary of the urban area with the rural part of the region”. Grimes and Liang (2009) found that the impact of the MUL was significant. Land prices just inside the MUL were 10 times higher than land just outside MUL. The New Zealand Productivity Commission applied a similar methodology to estimate the impact of the MUL between 1995 and 2010. </w:t>
      </w:r>
      <w:r>
        <w:rPr>
          <w:sz w:val="22"/>
        </w:rPr>
        <w:lastRenderedPageBreak/>
        <w:t>The Commission found that the value of land just inside the MUL boundary is almost 9 times greater than land just outside the boundary, indicating that the MUL is a binding constraint on land supply. Further, the value of the land price differential has increased since the late 1990s, indicating that the MUL has become increasingly binding as housing demand has intensified in Auckland city</w:t>
      </w:r>
      <w:r w:rsidR="00723599">
        <w:rPr>
          <w:sz w:val="22"/>
        </w:rPr>
        <w:t>.</w:t>
      </w:r>
      <w:r>
        <w:rPr>
          <w:sz w:val="22"/>
        </w:rPr>
        <w:t xml:space="preserve"> </w:t>
      </w:r>
    </w:p>
    <w:p w:rsidR="005D568A" w:rsidRDefault="005D568A" w:rsidP="00723599">
      <w:pPr>
        <w:spacing w:after="200" w:line="276" w:lineRule="auto"/>
        <w:rPr>
          <w:sz w:val="22"/>
        </w:rPr>
      </w:pPr>
      <w:proofErr w:type="gramStart"/>
      <w:r>
        <w:rPr>
          <w:sz w:val="22"/>
        </w:rPr>
        <w:t>Figure 1.</w:t>
      </w:r>
      <w:proofErr w:type="gramEnd"/>
      <w:r>
        <w:rPr>
          <w:sz w:val="22"/>
        </w:rPr>
        <w:t xml:space="preserve"> Housing theme: Auckland region </w:t>
      </w:r>
      <w:proofErr w:type="spellStart"/>
      <w:r>
        <w:rPr>
          <w:sz w:val="22"/>
        </w:rPr>
        <w:t>v.s</w:t>
      </w:r>
      <w:proofErr w:type="spellEnd"/>
      <w:r>
        <w:rPr>
          <w:sz w:val="22"/>
        </w:rPr>
        <w:t>. selected New Zealand cities:</w:t>
      </w:r>
    </w:p>
    <w:p w:rsidR="005D568A" w:rsidRDefault="005D568A" w:rsidP="005D568A">
      <w:pPr>
        <w:rPr>
          <w:sz w:val="22"/>
        </w:rPr>
      </w:pPr>
      <w:r>
        <w:rPr>
          <w:sz w:val="22"/>
        </w:rPr>
        <w:tab/>
        <w:t>(</w:t>
      </w:r>
      <w:proofErr w:type="gramStart"/>
      <w:r>
        <w:rPr>
          <w:sz w:val="22"/>
        </w:rPr>
        <w:t>left</w:t>
      </w:r>
      <w:proofErr w:type="gramEnd"/>
      <w:r>
        <w:rPr>
          <w:sz w:val="22"/>
        </w:rPr>
        <w:t>) Growth of real land and capital values in 2000-2007</w:t>
      </w:r>
    </w:p>
    <w:p w:rsidR="005D568A" w:rsidRDefault="005D568A" w:rsidP="005D568A">
      <w:pPr>
        <w:rPr>
          <w:sz w:val="22"/>
        </w:rPr>
      </w:pPr>
      <w:r>
        <w:rPr>
          <w:sz w:val="22"/>
        </w:rPr>
        <w:tab/>
        <w:t>(</w:t>
      </w:r>
      <w:proofErr w:type="gramStart"/>
      <w:r>
        <w:rPr>
          <w:sz w:val="22"/>
        </w:rPr>
        <w:t>right</w:t>
      </w:r>
      <w:proofErr w:type="gramEnd"/>
      <w:r>
        <w:rPr>
          <w:sz w:val="22"/>
        </w:rPr>
        <w:t>) land value as a share of house value in 2000 and 2007</w:t>
      </w:r>
    </w:p>
    <w:tbl>
      <w:tblPr>
        <w:tblStyle w:val="TableGrid"/>
        <w:tblW w:w="0" w:type="auto"/>
        <w:tblLook w:val="04A0" w:firstRow="1" w:lastRow="0" w:firstColumn="1" w:lastColumn="0" w:noHBand="0" w:noVBand="1"/>
      </w:tblPr>
      <w:tblGrid>
        <w:gridCol w:w="4608"/>
        <w:gridCol w:w="4634"/>
      </w:tblGrid>
      <w:tr w:rsidR="005D568A" w:rsidTr="001B432F">
        <w:tc>
          <w:tcPr>
            <w:tcW w:w="4621" w:type="dxa"/>
          </w:tcPr>
          <w:p w:rsidR="005D568A" w:rsidRDefault="005D568A" w:rsidP="001B432F">
            <w:pPr>
              <w:rPr>
                <w:sz w:val="22"/>
                <w:szCs w:val="22"/>
              </w:rPr>
            </w:pPr>
            <w:r>
              <w:rPr>
                <w:noProof/>
              </w:rPr>
              <w:drawing>
                <wp:inline distT="0" distB="0" distL="0" distR="0" wp14:anchorId="1EDB8196" wp14:editId="66071395">
                  <wp:extent cx="3189600" cy="1908000"/>
                  <wp:effectExtent l="0" t="0" r="11430" b="1651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621" w:type="dxa"/>
          </w:tcPr>
          <w:p w:rsidR="005D568A" w:rsidRDefault="005D568A" w:rsidP="001B432F">
            <w:pPr>
              <w:rPr>
                <w:sz w:val="22"/>
                <w:szCs w:val="22"/>
              </w:rPr>
            </w:pPr>
            <w:r>
              <w:rPr>
                <w:noProof/>
              </w:rPr>
              <w:drawing>
                <wp:inline distT="0" distB="0" distL="0" distR="0" wp14:anchorId="351ED305" wp14:editId="7A9239C2">
                  <wp:extent cx="3200400" cy="1918800"/>
                  <wp:effectExtent l="0" t="0" r="19050" b="24765"/>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5D568A" w:rsidRPr="00B47BE4" w:rsidRDefault="005D568A" w:rsidP="005D568A">
      <w:pPr>
        <w:rPr>
          <w:i/>
          <w:sz w:val="18"/>
          <w:szCs w:val="18"/>
        </w:rPr>
      </w:pPr>
      <w:r w:rsidRPr="00B47BE4">
        <w:rPr>
          <w:i/>
          <w:sz w:val="18"/>
          <w:szCs w:val="18"/>
        </w:rPr>
        <w:t>Source: QVNZ</w:t>
      </w:r>
    </w:p>
    <w:p w:rsidR="005D568A" w:rsidRDefault="005D568A" w:rsidP="005D568A">
      <w:pPr>
        <w:rPr>
          <w:rFonts w:eastAsiaTheme="minorEastAsia"/>
          <w:sz w:val="22"/>
          <w:lang w:eastAsia="zh-CN"/>
        </w:rPr>
      </w:pPr>
    </w:p>
    <w:p w:rsidR="00733B15" w:rsidRPr="00B47BE4" w:rsidRDefault="00733B15" w:rsidP="00B47BE4">
      <w:pPr>
        <w:pStyle w:val="BodyText"/>
        <w:rPr>
          <w:sz w:val="22"/>
        </w:rPr>
      </w:pPr>
      <w:proofErr w:type="gramStart"/>
      <w:r w:rsidRPr="00733B15">
        <w:rPr>
          <w:rFonts w:eastAsiaTheme="minorEastAsia"/>
          <w:sz w:val="22"/>
          <w:lang w:eastAsia="zh-CN"/>
        </w:rPr>
        <w:t>Figure 2.</w:t>
      </w:r>
      <w:proofErr w:type="gramEnd"/>
      <w:r w:rsidRPr="00733B15">
        <w:rPr>
          <w:rFonts w:eastAsiaTheme="minorEastAsia"/>
          <w:sz w:val="22"/>
          <w:lang w:eastAsia="zh-CN"/>
        </w:rPr>
        <w:t xml:space="preserve"> </w:t>
      </w:r>
      <w:r w:rsidRPr="00733B15">
        <w:rPr>
          <w:sz w:val="22"/>
        </w:rPr>
        <w:t>The impact of the Auckland MUL on land prices</w:t>
      </w:r>
      <w:r w:rsidR="00B47BE4">
        <w:rPr>
          <w:sz w:val="22"/>
        </w:rPr>
        <w:t xml:space="preserve"> </w:t>
      </w:r>
    </w:p>
    <w:p w:rsidR="00733B15" w:rsidRDefault="00733B15" w:rsidP="005D568A">
      <w:pPr>
        <w:rPr>
          <w:rFonts w:eastAsiaTheme="minorEastAsia"/>
          <w:sz w:val="22"/>
          <w:lang w:eastAsia="zh-CN"/>
        </w:rPr>
      </w:pPr>
      <w:r>
        <w:rPr>
          <w:noProof/>
          <w:lang w:eastAsia="en-NZ"/>
        </w:rPr>
        <w:drawing>
          <wp:inline distT="0" distB="0" distL="0" distR="0" wp14:anchorId="2F215606" wp14:editId="2CEDED63">
            <wp:extent cx="3786010" cy="1673525"/>
            <wp:effectExtent l="0" t="0" r="5080" b="3175"/>
            <wp:docPr id="3" name="Picture 3" descr="C:\Users\kavanaghj\AppData\Local\Microsoft\Windows\Temporary Internet Files\Content.Outlook\4333GCJD\H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anaghj\AppData\Local\Microsoft\Windows\Temporary Internet Files\Content.Outlook\4333GCJD\H09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789" cy="1683152"/>
                    </a:xfrm>
                    <a:prstGeom prst="rect">
                      <a:avLst/>
                    </a:prstGeom>
                    <a:noFill/>
                    <a:ln>
                      <a:noFill/>
                    </a:ln>
                  </pic:spPr>
                </pic:pic>
              </a:graphicData>
            </a:graphic>
          </wp:inline>
        </w:drawing>
      </w:r>
    </w:p>
    <w:p w:rsidR="00B47BE4" w:rsidRDefault="00B47BE4" w:rsidP="005D568A">
      <w:pPr>
        <w:rPr>
          <w:rFonts w:eastAsiaTheme="minorEastAsia"/>
          <w:i/>
          <w:sz w:val="18"/>
          <w:szCs w:val="18"/>
          <w:lang w:eastAsia="zh-CN"/>
        </w:rPr>
      </w:pPr>
      <w:r w:rsidRPr="00B47BE4">
        <w:rPr>
          <w:rFonts w:eastAsiaTheme="minorEastAsia"/>
          <w:i/>
          <w:sz w:val="18"/>
          <w:szCs w:val="18"/>
          <w:lang w:eastAsia="zh-CN"/>
        </w:rPr>
        <w:t>Source: New Zealand Productivity Commission</w:t>
      </w:r>
    </w:p>
    <w:p w:rsidR="00B47BE4" w:rsidRPr="00B47BE4" w:rsidRDefault="00B47BE4" w:rsidP="005D568A">
      <w:pPr>
        <w:rPr>
          <w:rFonts w:eastAsiaTheme="minorEastAsia"/>
          <w:sz w:val="18"/>
          <w:szCs w:val="18"/>
          <w:lang w:eastAsia="zh-CN"/>
        </w:rPr>
      </w:pPr>
      <w:r w:rsidRPr="00B47BE4">
        <w:rPr>
          <w:rFonts w:eastAsiaTheme="minorEastAsia"/>
          <w:sz w:val="18"/>
          <w:szCs w:val="18"/>
          <w:lang w:eastAsia="zh-CN"/>
        </w:rPr>
        <w:t xml:space="preserve">Note: </w:t>
      </w:r>
      <w:r w:rsidRPr="00B47BE4">
        <w:rPr>
          <w:sz w:val="18"/>
          <w:szCs w:val="18"/>
        </w:rPr>
        <w:t>The price multiple of land 2km within the MUL to land 2km outside the MUL</w:t>
      </w:r>
    </w:p>
    <w:p w:rsidR="00B47BE4" w:rsidRPr="00107305" w:rsidRDefault="00B47BE4" w:rsidP="005D568A">
      <w:pPr>
        <w:rPr>
          <w:rFonts w:eastAsiaTheme="minorEastAsia"/>
          <w:sz w:val="22"/>
          <w:lang w:eastAsia="zh-CN"/>
        </w:rPr>
      </w:pPr>
    </w:p>
    <w:p w:rsidR="00272E5B" w:rsidRDefault="00272E5B" w:rsidP="00272E5B">
      <w:pPr>
        <w:rPr>
          <w:sz w:val="22"/>
        </w:rPr>
      </w:pPr>
      <w:r>
        <w:rPr>
          <w:sz w:val="22"/>
        </w:rPr>
        <w:t xml:space="preserve">This paper investigates whether the impact of the MUL is </w:t>
      </w:r>
      <w:r w:rsidRPr="00706768">
        <w:rPr>
          <w:i/>
          <w:sz w:val="22"/>
        </w:rPr>
        <w:t>uneven</w:t>
      </w:r>
      <w:r>
        <w:rPr>
          <w:sz w:val="22"/>
        </w:rPr>
        <w:t xml:space="preserve"> across land price </w:t>
      </w:r>
      <w:proofErr w:type="spellStart"/>
      <w:r>
        <w:rPr>
          <w:sz w:val="22"/>
        </w:rPr>
        <w:t>deciles</w:t>
      </w:r>
      <w:proofErr w:type="spellEnd"/>
      <w:r>
        <w:rPr>
          <w:sz w:val="22"/>
        </w:rPr>
        <w:t>. The Commission’s inquiry into housing affordability generated a particular interest in whether the MUL contributed to higher prices (and declining affordability) of lower qua</w:t>
      </w:r>
      <w:r>
        <w:rPr>
          <w:rFonts w:eastAsiaTheme="minorEastAsia" w:hint="eastAsia"/>
          <w:sz w:val="22"/>
          <w:lang w:eastAsia="zh-CN"/>
        </w:rPr>
        <w:t>r</w:t>
      </w:r>
      <w:r>
        <w:rPr>
          <w:sz w:val="22"/>
        </w:rPr>
        <w:t xml:space="preserve">tile and median valued land than more expensive properties. One possible explanation for this difference could be that the demand for lower </w:t>
      </w:r>
      <w:proofErr w:type="spellStart"/>
      <w:r>
        <w:rPr>
          <w:sz w:val="22"/>
        </w:rPr>
        <w:t>decile</w:t>
      </w:r>
      <w:proofErr w:type="spellEnd"/>
      <w:r>
        <w:rPr>
          <w:sz w:val="22"/>
        </w:rPr>
        <w:t xml:space="preserve"> residential properties is higher than more expensive properties at the urban limit. </w:t>
      </w:r>
    </w:p>
    <w:p w:rsidR="005D568A" w:rsidRDefault="005D568A" w:rsidP="005D568A">
      <w:pPr>
        <w:rPr>
          <w:sz w:val="22"/>
        </w:rPr>
      </w:pPr>
    </w:p>
    <w:p w:rsidR="005D568A" w:rsidRPr="000E48D8" w:rsidRDefault="005D568A" w:rsidP="005D568A">
      <w:pPr>
        <w:rPr>
          <w:b/>
          <w:sz w:val="28"/>
          <w:szCs w:val="28"/>
        </w:rPr>
      </w:pPr>
      <w:r w:rsidRPr="000E48D8">
        <w:rPr>
          <w:b/>
          <w:sz w:val="28"/>
          <w:szCs w:val="28"/>
        </w:rPr>
        <w:t>Method</w:t>
      </w:r>
    </w:p>
    <w:p w:rsidR="005D568A" w:rsidRDefault="005D568A" w:rsidP="005D568A">
      <w:pPr>
        <w:rPr>
          <w:sz w:val="22"/>
        </w:rPr>
      </w:pPr>
      <w:r>
        <w:rPr>
          <w:sz w:val="22"/>
        </w:rPr>
        <w:lastRenderedPageBreak/>
        <w:t xml:space="preserve">This section outlines the regression model used to estimate the impact of Auckland’s MUL on land prices in the region. The model extends the modelling work of Grimes and Liang (2009) using </w:t>
      </w:r>
      <w:proofErr w:type="spellStart"/>
      <w:r>
        <w:rPr>
          <w:sz w:val="22"/>
        </w:rPr>
        <w:t>quantile</w:t>
      </w:r>
      <w:proofErr w:type="spellEnd"/>
      <w:r>
        <w:rPr>
          <w:sz w:val="22"/>
        </w:rPr>
        <w:t xml:space="preserve"> regression</w:t>
      </w:r>
      <w:r>
        <w:rPr>
          <w:rStyle w:val="FootnoteReference"/>
          <w:sz w:val="22"/>
        </w:rPr>
        <w:footnoteReference w:id="2"/>
      </w:r>
      <w:r>
        <w:rPr>
          <w:sz w:val="22"/>
        </w:rPr>
        <w:t xml:space="preserve"> and focuses on land price </w:t>
      </w:r>
      <w:proofErr w:type="spellStart"/>
      <w:r>
        <w:rPr>
          <w:sz w:val="22"/>
        </w:rPr>
        <w:t>deciles</w:t>
      </w:r>
      <w:proofErr w:type="spellEnd"/>
      <w:r>
        <w:rPr>
          <w:sz w:val="22"/>
        </w:rPr>
        <w:t xml:space="preserve">. </w:t>
      </w:r>
    </w:p>
    <w:p w:rsidR="005D568A" w:rsidRDefault="005D568A" w:rsidP="005D568A">
      <w:pPr>
        <w:rPr>
          <w:sz w:val="22"/>
        </w:rPr>
      </w:pPr>
    </w:p>
    <w:p w:rsidR="005D568A" w:rsidRDefault="005D568A" w:rsidP="005D568A">
      <w:pPr>
        <w:rPr>
          <w:sz w:val="22"/>
        </w:rPr>
      </w:pPr>
      <w:r>
        <w:rPr>
          <w:sz w:val="22"/>
        </w:rPr>
        <w:t>Traditional regression analysis (e.g. Ordinary Least Square) is focused on the conditional means. That summarises the relationship between the response variable and predictor variables by describing the mean of the response for each fixed value of the predictors (</w:t>
      </w:r>
      <w:proofErr w:type="spellStart"/>
      <w:r>
        <w:rPr>
          <w:sz w:val="22"/>
        </w:rPr>
        <w:t>Hao</w:t>
      </w:r>
      <w:proofErr w:type="spellEnd"/>
      <w:r>
        <w:rPr>
          <w:sz w:val="22"/>
        </w:rPr>
        <w:t xml:space="preserve"> &amp; </w:t>
      </w:r>
      <w:proofErr w:type="spellStart"/>
      <w:r>
        <w:rPr>
          <w:sz w:val="22"/>
        </w:rPr>
        <w:t>Naiman</w:t>
      </w:r>
      <w:proofErr w:type="spellEnd"/>
      <w:r>
        <w:rPr>
          <w:sz w:val="22"/>
        </w:rPr>
        <w:t>, 2007). However, the conditional-mean framework cannot be extended to non</w:t>
      </w:r>
      <w:r w:rsidR="00F874B7">
        <w:rPr>
          <w:sz w:val="22"/>
        </w:rPr>
        <w:t>-</w:t>
      </w:r>
      <w:r>
        <w:rPr>
          <w:sz w:val="22"/>
        </w:rPr>
        <w:t>central locations (e.g. lower and upp</w:t>
      </w:r>
      <w:r w:rsidR="00F874B7">
        <w:rPr>
          <w:sz w:val="22"/>
        </w:rPr>
        <w:t>e</w:t>
      </w:r>
      <w:r>
        <w:rPr>
          <w:sz w:val="22"/>
        </w:rPr>
        <w:t xml:space="preserve">r quartiles) that may fail to capture informative trends in the response distribution. Alternatively, </w:t>
      </w:r>
      <w:proofErr w:type="spellStart"/>
      <w:r>
        <w:rPr>
          <w:sz w:val="22"/>
        </w:rPr>
        <w:t>quantile</w:t>
      </w:r>
      <w:proofErr w:type="spellEnd"/>
      <w:r>
        <w:rPr>
          <w:sz w:val="22"/>
        </w:rPr>
        <w:t xml:space="preserve"> regression (</w:t>
      </w:r>
      <w:proofErr w:type="spellStart"/>
      <w:r>
        <w:rPr>
          <w:sz w:val="22"/>
        </w:rPr>
        <w:t>Koenker</w:t>
      </w:r>
      <w:proofErr w:type="spellEnd"/>
      <w:r>
        <w:rPr>
          <w:sz w:val="22"/>
        </w:rPr>
        <w:t xml:space="preserve"> &amp; Bassett, 1978; </w:t>
      </w:r>
      <w:proofErr w:type="spellStart"/>
      <w:r>
        <w:rPr>
          <w:sz w:val="22"/>
        </w:rPr>
        <w:t>Koenker</w:t>
      </w:r>
      <w:proofErr w:type="spellEnd"/>
      <w:r>
        <w:rPr>
          <w:sz w:val="22"/>
        </w:rPr>
        <w:t>, 2005) uses a conditional-</w:t>
      </w:r>
      <w:proofErr w:type="spellStart"/>
      <w:r>
        <w:rPr>
          <w:sz w:val="22"/>
        </w:rPr>
        <w:t>quantile</w:t>
      </w:r>
      <w:proofErr w:type="spellEnd"/>
      <w:r>
        <w:rPr>
          <w:sz w:val="22"/>
        </w:rPr>
        <w:t xml:space="preserve"> framework that is able to provide a comprehensive data analysis on </w:t>
      </w:r>
      <w:proofErr w:type="spellStart"/>
      <w:r>
        <w:rPr>
          <w:sz w:val="22"/>
        </w:rPr>
        <w:t>quantiles</w:t>
      </w:r>
      <w:proofErr w:type="spellEnd"/>
      <w:r>
        <w:rPr>
          <w:sz w:val="22"/>
        </w:rPr>
        <w:t xml:space="preserve">. It also makes no distributional assumption about the error term in the model. That gives greater flexibility </w:t>
      </w:r>
      <w:r w:rsidR="00347762">
        <w:rPr>
          <w:sz w:val="22"/>
        </w:rPr>
        <w:t>i</w:t>
      </w:r>
      <w:r>
        <w:rPr>
          <w:sz w:val="22"/>
        </w:rPr>
        <w:t xml:space="preserve">n modelling heterogeneous data. </w:t>
      </w:r>
    </w:p>
    <w:p w:rsidR="005D568A" w:rsidRDefault="005D568A" w:rsidP="005D568A">
      <w:pPr>
        <w:rPr>
          <w:sz w:val="22"/>
        </w:rPr>
      </w:pPr>
    </w:p>
    <w:p w:rsidR="005D568A" w:rsidRDefault="005D568A" w:rsidP="005D568A">
      <w:pPr>
        <w:rPr>
          <w:sz w:val="22"/>
        </w:rPr>
      </w:pPr>
      <w:r>
        <w:rPr>
          <w:sz w:val="22"/>
        </w:rPr>
        <w:t xml:space="preserve">In this study, the hypothesis is that the impact of Auckland MUL </w:t>
      </w:r>
      <w:r w:rsidR="00347762">
        <w:rPr>
          <w:sz w:val="22"/>
        </w:rPr>
        <w:t>will be</w:t>
      </w:r>
      <w:r>
        <w:rPr>
          <w:sz w:val="22"/>
        </w:rPr>
        <w:t xml:space="preserve"> uneven across the board. </w:t>
      </w:r>
      <w:proofErr w:type="gramStart"/>
      <w:r>
        <w:rPr>
          <w:sz w:val="22"/>
        </w:rPr>
        <w:t xml:space="preserve">In particular, areas with cheaper than average land </w:t>
      </w:r>
      <w:r w:rsidR="00347762">
        <w:rPr>
          <w:sz w:val="22"/>
        </w:rPr>
        <w:t>values</w:t>
      </w:r>
      <w:r>
        <w:rPr>
          <w:sz w:val="22"/>
        </w:rPr>
        <w:t xml:space="preserve"> experience a greater impact.</w:t>
      </w:r>
      <w:proofErr w:type="gramEnd"/>
      <w:r>
        <w:rPr>
          <w:sz w:val="22"/>
        </w:rPr>
        <w:t xml:space="preserve">  </w:t>
      </w:r>
      <w:proofErr w:type="spellStart"/>
      <w:r>
        <w:rPr>
          <w:sz w:val="22"/>
        </w:rPr>
        <w:t>Quantile</w:t>
      </w:r>
      <w:proofErr w:type="spellEnd"/>
      <w:r>
        <w:rPr>
          <w:sz w:val="22"/>
        </w:rPr>
        <w:t xml:space="preserve"> regression is more suitable than ordinary linear regression to test this hypothesis.</w:t>
      </w:r>
    </w:p>
    <w:p w:rsidR="005D568A" w:rsidRDefault="005D568A" w:rsidP="005D568A">
      <w:pPr>
        <w:rPr>
          <w:sz w:val="22"/>
        </w:rPr>
      </w:pPr>
    </w:p>
    <w:p w:rsidR="00347762" w:rsidRDefault="005D568A" w:rsidP="005D568A">
      <w:pPr>
        <w:rPr>
          <w:sz w:val="22"/>
        </w:rPr>
      </w:pPr>
      <w:r>
        <w:rPr>
          <w:sz w:val="22"/>
        </w:rPr>
        <w:t>In the regression, real median land price</w:t>
      </w:r>
      <w:r w:rsidR="00347762">
        <w:rPr>
          <w:sz w:val="22"/>
        </w:rPr>
        <w:t>s</w:t>
      </w:r>
      <w:r>
        <w:rPr>
          <w:rStyle w:val="FootnoteReference"/>
          <w:sz w:val="22"/>
        </w:rPr>
        <w:footnoteReference w:id="3"/>
      </w:r>
      <w:r>
        <w:rPr>
          <w:sz w:val="22"/>
        </w:rPr>
        <w:t xml:space="preserve"> ($ per hectare) </w:t>
      </w:r>
      <w:r w:rsidR="00347762">
        <w:rPr>
          <w:sz w:val="22"/>
        </w:rPr>
        <w:t>are</w:t>
      </w:r>
      <w:r>
        <w:rPr>
          <w:sz w:val="22"/>
        </w:rPr>
        <w:t xml:space="preserve"> modelled at the </w:t>
      </w:r>
      <w:proofErr w:type="spellStart"/>
      <w:r>
        <w:rPr>
          <w:sz w:val="22"/>
        </w:rPr>
        <w:t>meshblock</w:t>
      </w:r>
      <w:proofErr w:type="spellEnd"/>
      <w:r>
        <w:rPr>
          <w:sz w:val="22"/>
        </w:rPr>
        <w:t xml:space="preserve"> level across the former seven Auckland territorial authorities – Rodney, North Shore, Waitakere, Auckland city, </w:t>
      </w:r>
      <w:proofErr w:type="spellStart"/>
      <w:r>
        <w:rPr>
          <w:sz w:val="22"/>
        </w:rPr>
        <w:t>Manukau</w:t>
      </w:r>
      <w:proofErr w:type="spellEnd"/>
      <w:r>
        <w:rPr>
          <w:sz w:val="22"/>
        </w:rPr>
        <w:t xml:space="preserve">, </w:t>
      </w:r>
      <w:proofErr w:type="spellStart"/>
      <w:r>
        <w:rPr>
          <w:sz w:val="22"/>
        </w:rPr>
        <w:t>Papakura</w:t>
      </w:r>
      <w:proofErr w:type="spellEnd"/>
      <w:r>
        <w:rPr>
          <w:sz w:val="22"/>
        </w:rPr>
        <w:t xml:space="preserve"> and Franklin –  around 8,000 </w:t>
      </w:r>
      <w:proofErr w:type="spellStart"/>
      <w:r>
        <w:rPr>
          <w:sz w:val="22"/>
        </w:rPr>
        <w:t>meshblocks</w:t>
      </w:r>
      <w:proofErr w:type="spellEnd"/>
      <w:r>
        <w:rPr>
          <w:rStyle w:val="FootnoteReference"/>
          <w:sz w:val="22"/>
        </w:rPr>
        <w:footnoteReference w:id="4"/>
      </w:r>
      <w:r>
        <w:rPr>
          <w:sz w:val="22"/>
        </w:rPr>
        <w:t xml:space="preserve"> each year. </w:t>
      </w:r>
    </w:p>
    <w:p w:rsidR="00B47BE4" w:rsidRDefault="00B47BE4" w:rsidP="005D568A">
      <w:pPr>
        <w:rPr>
          <w:sz w:val="22"/>
        </w:rPr>
      </w:pPr>
    </w:p>
    <w:p w:rsidR="005D568A" w:rsidRPr="00576F8A" w:rsidRDefault="00347762" w:rsidP="005D568A">
      <w:pPr>
        <w:rPr>
          <w:sz w:val="22"/>
        </w:rPr>
      </w:pPr>
      <w:r w:rsidRPr="00B47BE4">
        <w:rPr>
          <w:sz w:val="22"/>
        </w:rPr>
        <w:t>These prices were based on the land value portion of Quotable Value residential property valuations.</w:t>
      </w:r>
      <w:r>
        <w:rPr>
          <w:sz w:val="22"/>
        </w:rPr>
        <w:t xml:space="preserve"> </w:t>
      </w:r>
      <w:r w:rsidR="005D568A" w:rsidRPr="00576F8A">
        <w:rPr>
          <w:sz w:val="22"/>
        </w:rPr>
        <w:t>The median land values are weighted medians for two main types of properties – residential dwellings and lifestyle dwellings. These properties usually have detached or semi-detached dwellings on clearly defined sections and make up over 70</w:t>
      </w:r>
      <w:r w:rsidR="005D568A">
        <w:rPr>
          <w:sz w:val="22"/>
        </w:rPr>
        <w:t>% of the total number and value</w:t>
      </w:r>
      <w:r w:rsidR="005D568A" w:rsidRPr="00576F8A">
        <w:rPr>
          <w:sz w:val="22"/>
        </w:rPr>
        <w:t xml:space="preserve"> of dwellings in the Auckland region. </w:t>
      </w:r>
      <w:r w:rsidR="005D568A">
        <w:rPr>
          <w:sz w:val="22"/>
        </w:rPr>
        <w:t>For other types of dwellings, land is usually cross-</w:t>
      </w:r>
      <w:r>
        <w:rPr>
          <w:sz w:val="22"/>
        </w:rPr>
        <w:t>leased or not clearly defined. In these cases, a</w:t>
      </w:r>
      <w:r w:rsidR="005D568A">
        <w:rPr>
          <w:sz w:val="22"/>
        </w:rPr>
        <w:t>ssessments of land area are difficult to measure because there is no legal</w:t>
      </w:r>
      <w:r>
        <w:rPr>
          <w:sz w:val="22"/>
        </w:rPr>
        <w:t>ly</w:t>
      </w:r>
      <w:r w:rsidR="005D568A">
        <w:rPr>
          <w:sz w:val="22"/>
        </w:rPr>
        <w:t xml:space="preserve"> assigned portion to the land parcel, like a flat or apartment. These dwellings were therefore excluded from the analysis. </w:t>
      </w:r>
    </w:p>
    <w:p w:rsidR="005D568A" w:rsidRPr="00576F8A" w:rsidRDefault="005D568A" w:rsidP="005D568A">
      <w:pPr>
        <w:rPr>
          <w:sz w:val="22"/>
        </w:rPr>
      </w:pPr>
    </w:p>
    <w:p w:rsidR="005D568A" w:rsidRPr="00107305" w:rsidRDefault="005D568A" w:rsidP="005D568A">
      <w:pPr>
        <w:rPr>
          <w:rFonts w:eastAsiaTheme="minorEastAsia"/>
          <w:sz w:val="22"/>
          <w:lang w:eastAsia="zh-CN"/>
        </w:rPr>
      </w:pPr>
      <w:r w:rsidRPr="00576F8A">
        <w:rPr>
          <w:sz w:val="22"/>
        </w:rPr>
        <w:t xml:space="preserve">The key variables of interest </w:t>
      </w:r>
      <w:r>
        <w:rPr>
          <w:sz w:val="22"/>
        </w:rPr>
        <w:t>in the model are the MUL dumm</w:t>
      </w:r>
      <w:r>
        <w:rPr>
          <w:rFonts w:eastAsiaTheme="minorEastAsia" w:hint="eastAsia"/>
          <w:sz w:val="22"/>
          <w:lang w:eastAsia="zh-CN"/>
        </w:rPr>
        <w:t>y variables</w:t>
      </w:r>
      <w:r>
        <w:rPr>
          <w:sz w:val="22"/>
        </w:rPr>
        <w:t>. The dumm</w:t>
      </w:r>
      <w:r>
        <w:rPr>
          <w:rFonts w:eastAsiaTheme="minorEastAsia" w:hint="eastAsia"/>
          <w:sz w:val="22"/>
          <w:lang w:eastAsia="zh-CN"/>
        </w:rPr>
        <w:t>y variables</w:t>
      </w:r>
      <w:r w:rsidRPr="00576F8A">
        <w:rPr>
          <w:sz w:val="22"/>
        </w:rPr>
        <w:t xml:space="preserve"> </w:t>
      </w:r>
      <w:r>
        <w:rPr>
          <w:sz w:val="22"/>
        </w:rPr>
        <w:t>were</w:t>
      </w:r>
      <w:r w:rsidRPr="00576F8A">
        <w:rPr>
          <w:sz w:val="22"/>
        </w:rPr>
        <w:t xml:space="preserve"> constructed on the basis of </w:t>
      </w:r>
      <w:proofErr w:type="spellStart"/>
      <w:r w:rsidRPr="00576F8A">
        <w:rPr>
          <w:sz w:val="22"/>
        </w:rPr>
        <w:t>meshblock</w:t>
      </w:r>
      <w:proofErr w:type="spellEnd"/>
      <w:r>
        <w:rPr>
          <w:sz w:val="22"/>
        </w:rPr>
        <w:t xml:space="preserve"> </w:t>
      </w:r>
      <w:r w:rsidRPr="00576F8A">
        <w:rPr>
          <w:sz w:val="22"/>
        </w:rPr>
        <w:t>distance from the MUL</w:t>
      </w:r>
      <w:r>
        <w:rPr>
          <w:sz w:val="22"/>
        </w:rPr>
        <w:t xml:space="preserve"> boundaries</w:t>
      </w:r>
      <w:r w:rsidRPr="00576F8A">
        <w:rPr>
          <w:sz w:val="22"/>
        </w:rPr>
        <w:t xml:space="preserve">. Specifically, each </w:t>
      </w:r>
      <w:proofErr w:type="spellStart"/>
      <w:r w:rsidRPr="00576F8A">
        <w:rPr>
          <w:sz w:val="22"/>
        </w:rPr>
        <w:t>meshblock</w:t>
      </w:r>
      <w:proofErr w:type="spellEnd"/>
      <w:r w:rsidRPr="00576F8A">
        <w:rPr>
          <w:sz w:val="22"/>
        </w:rPr>
        <w:t xml:space="preserve"> </w:t>
      </w:r>
      <w:r>
        <w:rPr>
          <w:sz w:val="22"/>
        </w:rPr>
        <w:t>was</w:t>
      </w:r>
      <w:r w:rsidRPr="00576F8A">
        <w:rPr>
          <w:sz w:val="22"/>
        </w:rPr>
        <w:t xml:space="preserve"> assigned into one of four categories depending on its distance to the MUL. </w:t>
      </w:r>
      <w:r>
        <w:rPr>
          <w:sz w:val="22"/>
        </w:rPr>
        <w:t>The</w:t>
      </w:r>
      <w:r w:rsidRPr="00576F8A">
        <w:rPr>
          <w:sz w:val="22"/>
        </w:rPr>
        <w:t xml:space="preserve"> categories are: greater than 2km inside the MUL, 2km within the MUL, 2km outside the MUL, and gre</w:t>
      </w:r>
      <w:r>
        <w:rPr>
          <w:sz w:val="22"/>
        </w:rPr>
        <w:t>ater than 2km outside the MUL. I</w:t>
      </w:r>
      <w:r w:rsidRPr="00576F8A">
        <w:rPr>
          <w:sz w:val="22"/>
        </w:rPr>
        <w:t xml:space="preserve">f a </w:t>
      </w:r>
      <w:proofErr w:type="spellStart"/>
      <w:r w:rsidRPr="00576F8A">
        <w:rPr>
          <w:sz w:val="22"/>
        </w:rPr>
        <w:t>meshblock</w:t>
      </w:r>
      <w:proofErr w:type="spellEnd"/>
      <w:r w:rsidRPr="00576F8A">
        <w:rPr>
          <w:sz w:val="22"/>
        </w:rPr>
        <w:t xml:space="preserve"> </w:t>
      </w:r>
      <w:r>
        <w:rPr>
          <w:sz w:val="22"/>
        </w:rPr>
        <w:t xml:space="preserve">was </w:t>
      </w:r>
      <w:r w:rsidRPr="00576F8A">
        <w:rPr>
          <w:sz w:val="22"/>
        </w:rPr>
        <w:t xml:space="preserve">dissected by the MUL, it </w:t>
      </w:r>
      <w:r>
        <w:rPr>
          <w:sz w:val="22"/>
        </w:rPr>
        <w:t>was</w:t>
      </w:r>
      <w:r w:rsidRPr="00576F8A">
        <w:rPr>
          <w:sz w:val="22"/>
        </w:rPr>
        <w:t xml:space="preserve"> randomly assigned to either just inside or outside MUL by a uniform distribution</w:t>
      </w:r>
      <w:r w:rsidR="00272E5B">
        <w:rPr>
          <w:rStyle w:val="FootnoteReference"/>
          <w:sz w:val="22"/>
        </w:rPr>
        <w:footnoteReference w:id="5"/>
      </w:r>
      <w:r w:rsidRPr="00576F8A">
        <w:rPr>
          <w:sz w:val="22"/>
        </w:rPr>
        <w:t xml:space="preserve">. </w:t>
      </w:r>
      <w:r>
        <w:rPr>
          <w:sz w:val="22"/>
        </w:rPr>
        <w:t>This study used the 2009 MUL boundary</w:t>
      </w:r>
      <w:r>
        <w:rPr>
          <w:rStyle w:val="FootnoteReference"/>
          <w:sz w:val="22"/>
        </w:rPr>
        <w:footnoteReference w:id="6"/>
      </w:r>
      <w:r>
        <w:rPr>
          <w:sz w:val="22"/>
        </w:rPr>
        <w:t xml:space="preserve"> and assumed that it remained </w:t>
      </w:r>
      <w:r w:rsidRPr="00576F8A">
        <w:rPr>
          <w:sz w:val="22"/>
        </w:rPr>
        <w:t>constant over time. Although this is not the case in reality, changes of MUL over the last 15 years have been relat</w:t>
      </w:r>
      <w:r w:rsidR="00347762">
        <w:rPr>
          <w:sz w:val="22"/>
        </w:rPr>
        <w:t>ively minor (A</w:t>
      </w:r>
      <w:r>
        <w:rPr>
          <w:sz w:val="22"/>
        </w:rPr>
        <w:t>ppendix 1)</w:t>
      </w:r>
      <w:r w:rsidRPr="00576F8A">
        <w:rPr>
          <w:sz w:val="22"/>
        </w:rPr>
        <w:t xml:space="preserve">. </w:t>
      </w:r>
    </w:p>
    <w:p w:rsidR="005D568A" w:rsidRPr="0051077E" w:rsidRDefault="005D568A" w:rsidP="005D568A">
      <w:pPr>
        <w:rPr>
          <w:rFonts w:eastAsiaTheme="minorEastAsia"/>
          <w:sz w:val="22"/>
          <w:lang w:eastAsia="zh-CN"/>
        </w:rPr>
      </w:pPr>
    </w:p>
    <w:p w:rsidR="005D568A" w:rsidRPr="00576F8A" w:rsidRDefault="005D568A" w:rsidP="005D568A">
      <w:pPr>
        <w:rPr>
          <w:sz w:val="22"/>
        </w:rPr>
      </w:pPr>
      <w:r>
        <w:rPr>
          <w:sz w:val="22"/>
        </w:rPr>
        <w:lastRenderedPageBreak/>
        <w:t>The</w:t>
      </w:r>
      <w:r w:rsidRPr="00576F8A">
        <w:rPr>
          <w:sz w:val="22"/>
        </w:rPr>
        <w:t xml:space="preserve"> regression includes a set of locational factors which remove</w:t>
      </w:r>
      <w:r>
        <w:rPr>
          <w:sz w:val="22"/>
        </w:rPr>
        <w:t>d</w:t>
      </w:r>
      <w:r w:rsidRPr="00576F8A">
        <w:rPr>
          <w:sz w:val="22"/>
        </w:rPr>
        <w:t xml:space="preserve"> large-scale variations in land </w:t>
      </w:r>
      <w:r w:rsidR="00347762" w:rsidRPr="00B47BE4">
        <w:rPr>
          <w:sz w:val="22"/>
        </w:rPr>
        <w:t>values</w:t>
      </w:r>
      <w:r w:rsidRPr="00576F8A">
        <w:rPr>
          <w:sz w:val="22"/>
        </w:rPr>
        <w:t xml:space="preserve"> associated with geographical locations. These locational factors are </w:t>
      </w:r>
      <w:r>
        <w:rPr>
          <w:sz w:val="22"/>
        </w:rPr>
        <w:t xml:space="preserve">territorial authority (TA) </w:t>
      </w:r>
      <w:r w:rsidRPr="00576F8A">
        <w:rPr>
          <w:sz w:val="22"/>
        </w:rPr>
        <w:t xml:space="preserve">dummies, urban area dummies and latitude-longitude. TA dummies consist of Rodney, North Shore, Waitakere, </w:t>
      </w:r>
      <w:proofErr w:type="spellStart"/>
      <w:r w:rsidRPr="00576F8A">
        <w:rPr>
          <w:sz w:val="22"/>
        </w:rPr>
        <w:t>Manukau</w:t>
      </w:r>
      <w:proofErr w:type="spellEnd"/>
      <w:r w:rsidRPr="00576F8A">
        <w:rPr>
          <w:sz w:val="22"/>
        </w:rPr>
        <w:t xml:space="preserve">, </w:t>
      </w:r>
      <w:proofErr w:type="spellStart"/>
      <w:r w:rsidRPr="00576F8A">
        <w:rPr>
          <w:sz w:val="22"/>
        </w:rPr>
        <w:t>Papakura</w:t>
      </w:r>
      <w:proofErr w:type="spellEnd"/>
      <w:r w:rsidRPr="00576F8A">
        <w:rPr>
          <w:sz w:val="22"/>
        </w:rPr>
        <w:t xml:space="preserve"> and Franklin. Urban area dummies </w:t>
      </w:r>
      <w:r>
        <w:rPr>
          <w:sz w:val="22"/>
        </w:rPr>
        <w:t>were</w:t>
      </w:r>
      <w:r w:rsidRPr="00576F8A">
        <w:rPr>
          <w:sz w:val="22"/>
        </w:rPr>
        <w:t xml:space="preserve"> derived from rural and urban profile</w:t>
      </w:r>
      <w:r>
        <w:rPr>
          <w:sz w:val="22"/>
        </w:rPr>
        <w:t>s</w:t>
      </w:r>
      <w:r w:rsidRPr="00576F8A">
        <w:rPr>
          <w:sz w:val="22"/>
        </w:rPr>
        <w:t xml:space="preserve"> from </w:t>
      </w:r>
      <w:r>
        <w:rPr>
          <w:sz w:val="22"/>
        </w:rPr>
        <w:t>the 2006 Census</w:t>
      </w:r>
      <w:r w:rsidRPr="00576F8A">
        <w:rPr>
          <w:sz w:val="22"/>
        </w:rPr>
        <w:t xml:space="preserve"> </w:t>
      </w:r>
      <w:r>
        <w:rPr>
          <w:sz w:val="22"/>
        </w:rPr>
        <w:t>(Statistics New Zealand)</w:t>
      </w:r>
      <w:r w:rsidRPr="00576F8A">
        <w:rPr>
          <w:sz w:val="22"/>
        </w:rPr>
        <w:t xml:space="preserve">. </w:t>
      </w:r>
      <w:r>
        <w:rPr>
          <w:sz w:val="22"/>
        </w:rPr>
        <w:t>R</w:t>
      </w:r>
      <w:r w:rsidRPr="00576F8A">
        <w:rPr>
          <w:sz w:val="22"/>
        </w:rPr>
        <w:t xml:space="preserve">ural areas </w:t>
      </w:r>
      <w:r w:rsidR="00347762">
        <w:rPr>
          <w:sz w:val="22"/>
        </w:rPr>
        <w:t>were</w:t>
      </w:r>
      <w:r w:rsidRPr="00576F8A">
        <w:rPr>
          <w:sz w:val="22"/>
        </w:rPr>
        <w:t xml:space="preserve"> </w:t>
      </w:r>
      <w:r>
        <w:rPr>
          <w:sz w:val="22"/>
        </w:rPr>
        <w:t xml:space="preserve">defined as </w:t>
      </w:r>
      <w:r w:rsidRPr="00576F8A">
        <w:rPr>
          <w:sz w:val="22"/>
        </w:rPr>
        <w:t xml:space="preserve">rural areas with high, moderate or low urban influence. </w:t>
      </w:r>
      <w:r w:rsidR="00474A3B">
        <w:rPr>
          <w:sz w:val="22"/>
        </w:rPr>
        <w:t>The local centric nodes include a set of high business centres that recognise a polycentric Auckland region</w:t>
      </w:r>
      <w:r w:rsidR="00474A3B">
        <w:rPr>
          <w:rStyle w:val="FootnoteReference"/>
          <w:sz w:val="22"/>
        </w:rPr>
        <w:footnoteReference w:id="7"/>
      </w:r>
      <w:r w:rsidR="00474A3B">
        <w:rPr>
          <w:sz w:val="22"/>
        </w:rPr>
        <w:t>.</w:t>
      </w:r>
      <w:r w:rsidR="00474A3B" w:rsidRPr="00576F8A">
        <w:rPr>
          <w:sz w:val="22"/>
        </w:rPr>
        <w:t xml:space="preserve"> </w:t>
      </w:r>
      <w:r w:rsidRPr="00576F8A">
        <w:rPr>
          <w:sz w:val="22"/>
        </w:rPr>
        <w:t xml:space="preserve">Quadratic terms of latitude and longitude, including the interaction term, </w:t>
      </w:r>
      <w:r>
        <w:rPr>
          <w:sz w:val="22"/>
        </w:rPr>
        <w:t>were</w:t>
      </w:r>
      <w:r w:rsidRPr="00576F8A">
        <w:rPr>
          <w:sz w:val="22"/>
        </w:rPr>
        <w:t xml:space="preserve"> used to capture the distributional effect of land </w:t>
      </w:r>
      <w:r w:rsidR="00347762" w:rsidRPr="00B47BE4">
        <w:rPr>
          <w:sz w:val="22"/>
        </w:rPr>
        <w:t>values</w:t>
      </w:r>
      <w:r>
        <w:rPr>
          <w:sz w:val="22"/>
        </w:rPr>
        <w:t xml:space="preserve"> associated with location</w:t>
      </w:r>
      <w:r>
        <w:rPr>
          <w:rStyle w:val="FootnoteReference"/>
          <w:sz w:val="22"/>
        </w:rPr>
        <w:footnoteReference w:id="8"/>
      </w:r>
      <w:r w:rsidRPr="00576F8A">
        <w:rPr>
          <w:sz w:val="22"/>
        </w:rPr>
        <w:t>.</w:t>
      </w:r>
    </w:p>
    <w:p w:rsidR="005D568A" w:rsidRPr="00576F8A" w:rsidRDefault="005D568A" w:rsidP="005D568A">
      <w:pPr>
        <w:rPr>
          <w:sz w:val="22"/>
        </w:rPr>
      </w:pPr>
    </w:p>
    <w:p w:rsidR="005D568A" w:rsidRDefault="005D568A" w:rsidP="005D568A">
      <w:pPr>
        <w:pStyle w:val="BodyText"/>
        <w:rPr>
          <w:sz w:val="22"/>
        </w:rPr>
      </w:pPr>
      <w:r>
        <w:rPr>
          <w:sz w:val="22"/>
        </w:rPr>
        <w:t>The following regression was</w:t>
      </w:r>
      <w:r w:rsidRPr="00576F8A">
        <w:rPr>
          <w:sz w:val="22"/>
        </w:rPr>
        <w:t xml:space="preserve"> estimated:</w:t>
      </w:r>
    </w:p>
    <w:p w:rsidR="005D568A" w:rsidRDefault="005D568A" w:rsidP="005D568A">
      <w:pPr>
        <w:pStyle w:val="BodyText"/>
        <w:rPr>
          <w:sz w:val="22"/>
        </w:rPr>
      </w:pPr>
      <m:oMath>
        <m:r>
          <w:rPr>
            <w:rFonts w:ascii="Cambria Math" w:hAnsi="Cambria Math"/>
            <w:sz w:val="22"/>
          </w:rPr>
          <m:t>Q</m:t>
        </m:r>
        <m:d>
          <m:dPr>
            <m:begChr m:val="["/>
            <m:endChr m:val="]"/>
            <m:ctrlPr>
              <w:rPr>
                <w:rFonts w:ascii="Cambria Math" w:hAnsi="Cambria Math"/>
                <w:i/>
                <w:sz w:val="22"/>
              </w:rPr>
            </m:ctrlPr>
          </m:dPr>
          <m:e>
            <m:r>
              <w:rPr>
                <w:rFonts w:ascii="Cambria Math" w:hAnsi="Cambria Math"/>
                <w:sz w:val="22"/>
              </w:rPr>
              <m:t>Y</m:t>
            </m:r>
          </m:e>
          <m:e>
            <m:r>
              <w:rPr>
                <w:rFonts w:ascii="Cambria Math" w:hAnsi="Cambria Math"/>
                <w:sz w:val="22"/>
              </w:rPr>
              <m:t>X,q</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m:t>
            </m:r>
          </m:sup>
        </m:sSup>
        <m:sSub>
          <m:sSubPr>
            <m:ctrlPr>
              <w:rPr>
                <w:rFonts w:ascii="Cambria Math" w:hAnsi="Cambria Math"/>
                <w:i/>
                <w:sz w:val="22"/>
              </w:rPr>
            </m:ctrlPr>
          </m:sSubPr>
          <m:e>
            <m:r>
              <w:rPr>
                <w:rFonts w:ascii="Cambria Math" w:hAnsi="Cambria Math"/>
                <w:sz w:val="22"/>
              </w:rPr>
              <m:t>β</m:t>
            </m:r>
          </m:e>
          <m:sub>
            <m:r>
              <w:rPr>
                <w:rFonts w:ascii="Cambria Math" w:hAnsi="Cambria Math"/>
                <w:sz w:val="22"/>
              </w:rPr>
              <m:t>q</m:t>
            </m:r>
          </m:sub>
        </m:sSub>
      </m:oMath>
      <w:r>
        <w:rPr>
          <w:sz w:val="22"/>
        </w:rPr>
        <w:t xml:space="preserve"> </w:t>
      </w:r>
      <w:proofErr w:type="gramStart"/>
      <w:r>
        <w:rPr>
          <w:sz w:val="22"/>
        </w:rPr>
        <w:t>such</w:t>
      </w:r>
      <w:proofErr w:type="gramEnd"/>
      <w:r>
        <w:rPr>
          <w:sz w:val="22"/>
        </w:rPr>
        <w:t xml:space="preserve"> that </w:t>
      </w:r>
      <m:oMath>
        <m:r>
          <w:rPr>
            <w:rFonts w:ascii="Cambria Math" w:hAnsi="Cambria Math"/>
            <w:sz w:val="22"/>
          </w:rPr>
          <m:t>prob</m:t>
        </m:r>
        <m:d>
          <m:dPr>
            <m:begChr m:val="["/>
            <m:endChr m:val="]"/>
            <m:ctrlPr>
              <w:rPr>
                <w:rFonts w:ascii="Cambria Math" w:hAnsi="Cambria Math"/>
                <w:i/>
                <w:sz w:val="22"/>
              </w:rPr>
            </m:ctrlPr>
          </m:dPr>
          <m:e>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m:t>
                </m:r>
              </m:sup>
            </m:sSup>
            <m:sSub>
              <m:sSubPr>
                <m:ctrlPr>
                  <w:rPr>
                    <w:rFonts w:ascii="Cambria Math" w:hAnsi="Cambria Math"/>
                    <w:i/>
                    <w:sz w:val="22"/>
                  </w:rPr>
                </m:ctrlPr>
              </m:sSubPr>
              <m:e>
                <m:r>
                  <w:rPr>
                    <w:rFonts w:ascii="Cambria Math" w:hAnsi="Cambria Math"/>
                    <w:sz w:val="22"/>
                  </w:rPr>
                  <m:t>β</m:t>
                </m:r>
              </m:e>
              <m:sub>
                <m:r>
                  <w:rPr>
                    <w:rFonts w:ascii="Cambria Math" w:hAnsi="Cambria Math"/>
                    <w:sz w:val="22"/>
                  </w:rPr>
                  <m:t>q</m:t>
                </m:r>
              </m:sub>
            </m:sSub>
            <m:r>
              <w:rPr>
                <w:rFonts w:ascii="Cambria Math" w:hAnsi="Cambria Math"/>
                <w:sz w:val="22"/>
              </w:rPr>
              <m:t>≤0</m:t>
            </m:r>
          </m:e>
          <m:e>
            <m:r>
              <w:rPr>
                <w:rFonts w:ascii="Cambria Math" w:hAnsi="Cambria Math"/>
                <w:sz w:val="22"/>
              </w:rPr>
              <m:t>X</m:t>
            </m:r>
          </m:e>
        </m:d>
        <m:r>
          <w:rPr>
            <w:rFonts w:ascii="Cambria Math" w:hAnsi="Cambria Math"/>
            <w:sz w:val="22"/>
          </w:rPr>
          <m:t>=q, 0&lt;q&lt;1</m:t>
        </m:r>
      </m:oMath>
    </w:p>
    <w:p w:rsidR="005D568A" w:rsidRPr="00576F8A" w:rsidRDefault="005D568A" w:rsidP="005D568A">
      <w:pPr>
        <w:pStyle w:val="BodyText"/>
        <w:rPr>
          <w:sz w:val="22"/>
        </w:rPr>
      </w:pPr>
      <w:proofErr w:type="gramStart"/>
      <w:r>
        <w:rPr>
          <w:sz w:val="22"/>
        </w:rPr>
        <w:t>Y and X are dependent and independent variables.</w:t>
      </w:r>
      <w:proofErr w:type="gramEnd"/>
      <w:r>
        <w:rPr>
          <w:sz w:val="22"/>
        </w:rPr>
        <w:t xml:space="preserve"> </w:t>
      </w:r>
      <m:oMath>
        <m:r>
          <w:rPr>
            <w:rFonts w:ascii="Cambria Math" w:hAnsi="Cambria Math"/>
            <w:sz w:val="22"/>
          </w:rPr>
          <m:t>Q</m:t>
        </m:r>
        <m:d>
          <m:dPr>
            <m:begChr m:val="["/>
            <m:endChr m:val="]"/>
            <m:ctrlPr>
              <w:rPr>
                <w:rFonts w:ascii="Cambria Math" w:hAnsi="Cambria Math"/>
                <w:i/>
                <w:sz w:val="22"/>
              </w:rPr>
            </m:ctrlPr>
          </m:dPr>
          <m:e>
            <m:r>
              <w:rPr>
                <w:rFonts w:ascii="Cambria Math" w:hAnsi="Cambria Math"/>
                <w:sz w:val="22"/>
              </w:rPr>
              <m:t>Y</m:t>
            </m:r>
          </m:e>
          <m:e>
            <m:r>
              <w:rPr>
                <w:rFonts w:ascii="Cambria Math" w:hAnsi="Cambria Math"/>
                <w:sz w:val="22"/>
              </w:rPr>
              <m:t>X,q</m:t>
            </m:r>
          </m:e>
        </m:d>
      </m:oMath>
      <w:r>
        <w:rPr>
          <w:sz w:val="22"/>
        </w:rPr>
        <w:t xml:space="preserve"> </w:t>
      </w:r>
      <w:proofErr w:type="gramStart"/>
      <w:r>
        <w:rPr>
          <w:sz w:val="22"/>
        </w:rPr>
        <w:t>is</w:t>
      </w:r>
      <w:proofErr w:type="gramEnd"/>
      <w:r>
        <w:rPr>
          <w:sz w:val="22"/>
        </w:rPr>
        <w:t xml:space="preserve"> a function of quantile regression with regard to specific quantile q.</w:t>
      </w:r>
    </w:p>
    <w:p w:rsidR="00474A3B" w:rsidRDefault="00474A3B" w:rsidP="00474A3B">
      <w:pPr>
        <w:pStyle w:val="BodyText"/>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RLV</m:t>
                    </m:r>
                  </m:e>
                  <m:sub>
                    <m:r>
                      <w:rPr>
                        <w:rFonts w:ascii="Cambria Math" w:hAnsi="Cambria Math"/>
                        <w:sz w:val="24"/>
                        <w:szCs w:val="24"/>
                      </w:rPr>
                      <m:t>i</m:t>
                    </m:r>
                  </m:sub>
                </m:sSub>
              </m:e>
            </m:d>
          </m:e>
        </m:fun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MUL</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MUL</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MUL</m:t>
            </m:r>
          </m:e>
          <m:sub>
            <m:r>
              <w:rPr>
                <w:rFonts w:ascii="Cambria Math" w:hAnsi="Cambria Math"/>
                <w:sz w:val="24"/>
                <w:szCs w:val="24"/>
              </w:rPr>
              <m:t>4</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m:t>
            </m:r>
          </m:sup>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NOD</m:t>
                </m:r>
              </m:e>
              <m:sub>
                <m:r>
                  <w:rPr>
                    <w:rFonts w:ascii="Cambria Math" w:hAnsi="Cambria Math"/>
                    <w:sz w:val="24"/>
                    <w:szCs w:val="24"/>
                  </w:rPr>
                  <m:t>j</m:t>
                </m:r>
              </m:sub>
            </m:sSub>
            <m:r>
              <w:rPr>
                <w:rFonts w:ascii="Cambria Math" w:hAnsi="Cambria Math"/>
                <w:sz w:val="24"/>
                <w:szCs w:val="24"/>
              </w:rPr>
              <m:t>+</m:t>
            </m:r>
          </m:e>
        </m:nary>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π</m:t>
            </m:r>
          </m:e>
          <m:sub>
            <m:r>
              <w:rPr>
                <w:rFonts w:ascii="Cambria Math" w:hAnsi="Cambria Math"/>
                <w:sz w:val="24"/>
                <w:szCs w:val="24"/>
              </w:rPr>
              <m:t>1</m:t>
            </m:r>
          </m:sub>
        </m:sSub>
        <m:r>
          <w:rPr>
            <w:rFonts w:ascii="Cambria Math" w:hAnsi="Cambria Math"/>
            <w:sz w:val="24"/>
            <w:szCs w:val="24"/>
          </w:rPr>
          <m:t xml:space="preserve">URBAN+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5</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6</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8</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9</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TA</m:t>
            </m:r>
          </m:e>
          <m:sub>
            <m:r>
              <w:rPr>
                <w:rFonts w:ascii="Cambria Math" w:hAnsi="Cambria Math"/>
                <w:sz w:val="24"/>
                <w:szCs w:val="24"/>
              </w:rPr>
              <m:t>10</m:t>
            </m:r>
          </m:sub>
        </m:sSub>
        <m:r>
          <w:rPr>
            <w:rFonts w:ascii="Cambria Math" w:hAnsi="Cambria Math"/>
            <w:sz w:val="24"/>
            <w:szCs w:val="24"/>
          </w:rPr>
          <m:t>+</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π</m:t>
            </m:r>
          </m:e>
          <m:sub>
            <m:r>
              <w:rPr>
                <w:rFonts w:ascii="Cambria Math" w:hAnsi="Cambria Math"/>
                <w:sz w:val="22"/>
              </w:rPr>
              <m:t>1</m:t>
            </m:r>
          </m:sub>
        </m:sSub>
        <m:r>
          <w:rPr>
            <w:rFonts w:ascii="Cambria Math" w:hAnsi="Cambria Math"/>
            <w:sz w:val="22"/>
          </w:rPr>
          <m:t>LON+</m:t>
        </m:r>
        <m:sSub>
          <m:sSubPr>
            <m:ctrlPr>
              <w:rPr>
                <w:rFonts w:ascii="Cambria Math" w:hAnsi="Cambria Math"/>
                <w:i/>
                <w:sz w:val="22"/>
              </w:rPr>
            </m:ctrlPr>
          </m:sSubPr>
          <m:e>
            <m:r>
              <w:rPr>
                <w:rFonts w:ascii="Cambria Math" w:hAnsi="Cambria Math"/>
                <w:sz w:val="22"/>
              </w:rPr>
              <m:t>π</m:t>
            </m:r>
          </m:e>
          <m:sub>
            <m:r>
              <w:rPr>
                <w:rFonts w:ascii="Cambria Math" w:hAnsi="Cambria Math"/>
                <w:sz w:val="22"/>
              </w:rPr>
              <m:t>2</m:t>
            </m:r>
          </m:sub>
        </m:sSub>
        <m:r>
          <w:rPr>
            <w:rFonts w:ascii="Cambria Math" w:hAnsi="Cambria Math"/>
            <w:sz w:val="22"/>
          </w:rPr>
          <m:t>LAT+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π</m:t>
                </m:r>
              </m:e>
              <m:sub>
                <m:r>
                  <w:rPr>
                    <w:rFonts w:ascii="Cambria Math" w:hAnsi="Cambria Math"/>
                    <w:sz w:val="22"/>
                  </w:rPr>
                  <m:t>3</m:t>
                </m:r>
              </m:sub>
            </m:sSub>
            <m:r>
              <w:rPr>
                <w:rFonts w:ascii="Cambria Math" w:hAnsi="Cambria Math"/>
                <w:sz w:val="22"/>
              </w:rPr>
              <m:t>LON</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π</m:t>
                </m:r>
              </m:e>
              <m:sub>
                <m:r>
                  <w:rPr>
                    <w:rFonts w:ascii="Cambria Math" w:hAnsi="Cambria Math"/>
                    <w:sz w:val="22"/>
                  </w:rPr>
                  <m:t>4</m:t>
                </m:r>
              </m:sub>
            </m:sSub>
            <m:r>
              <w:rPr>
                <w:rFonts w:ascii="Cambria Math" w:hAnsi="Cambria Math"/>
                <w:sz w:val="22"/>
              </w:rPr>
              <m:t>LAT</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π</m:t>
            </m:r>
          </m:e>
          <m:sub>
            <m:r>
              <w:rPr>
                <w:rFonts w:ascii="Cambria Math" w:hAnsi="Cambria Math"/>
                <w:sz w:val="22"/>
              </w:rPr>
              <m:t>5</m:t>
            </m:r>
          </m:sub>
        </m:sSub>
        <m:r>
          <w:rPr>
            <w:rFonts w:ascii="Cambria Math" w:hAnsi="Cambria Math"/>
            <w:sz w:val="22"/>
          </w:rPr>
          <m:t>LON*LAT+</m:t>
        </m:r>
        <m:r>
          <w:rPr>
            <w:rFonts w:ascii="Cambria Math" w:hAnsi="Cambria Math"/>
            <w:sz w:val="24"/>
            <w:szCs w:val="24"/>
          </w:rPr>
          <m:t>α+</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t>
            </m:r>
          </m:sub>
        </m:sSub>
      </m:oMath>
      <w:r>
        <w:rPr>
          <w:sz w:val="24"/>
          <w:szCs w:val="24"/>
        </w:rPr>
        <w:t xml:space="preserve"> </w:t>
      </w:r>
    </w:p>
    <w:p w:rsidR="005D568A" w:rsidRDefault="00B47BE4" w:rsidP="005D568A">
      <w:pPr>
        <w:pStyle w:val="BodyText"/>
        <w:rPr>
          <w:sz w:val="24"/>
          <w:szCs w:val="24"/>
        </w:rPr>
      </w:pPr>
      <w:r>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r>
      <w:r w:rsidR="005D568A">
        <w:rPr>
          <w:sz w:val="24"/>
          <w:szCs w:val="24"/>
        </w:rPr>
        <w:tab/>
        <w:t>(1)</w:t>
      </w:r>
    </w:p>
    <w:p w:rsidR="005D568A" w:rsidRDefault="005D568A" w:rsidP="005D568A">
      <w:pPr>
        <w:pStyle w:val="Numberedlist"/>
        <w:numPr>
          <w:ilvl w:val="0"/>
          <w:numId w:val="0"/>
        </w:numPr>
        <w:ind w:left="340" w:hanging="340"/>
      </w:pPr>
      <w:r>
        <w:t>Where,</w:t>
      </w:r>
    </w:p>
    <w:p w:rsidR="005D568A" w:rsidRPr="00AC1CAB" w:rsidRDefault="005D568A" w:rsidP="005D568A">
      <w:pPr>
        <w:pStyle w:val="Numberedlist"/>
        <w:numPr>
          <w:ilvl w:val="0"/>
          <w:numId w:val="0"/>
        </w:numPr>
        <w:ind w:left="340"/>
        <w:rPr>
          <w:szCs w:val="20"/>
        </w:rPr>
      </w:pPr>
      <w:proofErr w:type="gramStart"/>
      <w:r w:rsidRPr="00AC1CAB">
        <w:rPr>
          <w:szCs w:val="20"/>
        </w:rPr>
        <w:t>Ln(</w:t>
      </w:r>
      <w:proofErr w:type="gramEnd"/>
      <w:r w:rsidRPr="00AC1CAB">
        <w:rPr>
          <w:szCs w:val="20"/>
        </w:rPr>
        <w:t xml:space="preserve">RLV) is log real </w:t>
      </w:r>
      <w:r>
        <w:rPr>
          <w:szCs w:val="20"/>
        </w:rPr>
        <w:t xml:space="preserve">median </w:t>
      </w:r>
      <w:r w:rsidRPr="00AC1CAB">
        <w:rPr>
          <w:szCs w:val="20"/>
        </w:rPr>
        <w:t xml:space="preserve">land value per hectare in </w:t>
      </w:r>
      <w:proofErr w:type="spellStart"/>
      <w:r w:rsidRPr="00AC1CAB">
        <w:rPr>
          <w:szCs w:val="20"/>
        </w:rPr>
        <w:t>meshblock</w:t>
      </w:r>
      <w:proofErr w:type="spellEnd"/>
      <w:r w:rsidRPr="00AC1CAB">
        <w:rPr>
          <w:szCs w:val="20"/>
        </w:rPr>
        <w:t xml:space="preserve"> </w:t>
      </w:r>
      <w:proofErr w:type="spellStart"/>
      <w:r>
        <w:rPr>
          <w:szCs w:val="20"/>
        </w:rPr>
        <w:t>i</w:t>
      </w:r>
      <w:proofErr w:type="spellEnd"/>
      <w:r>
        <w:rPr>
          <w:szCs w:val="20"/>
        </w:rPr>
        <w:t xml:space="preserve"> at 1995 price.</w:t>
      </w:r>
    </w:p>
    <w:p w:rsidR="005D568A" w:rsidRPr="00AC1CAB" w:rsidRDefault="005D568A" w:rsidP="005D568A">
      <w:pPr>
        <w:pStyle w:val="Numberedlist"/>
        <w:numPr>
          <w:ilvl w:val="0"/>
          <w:numId w:val="0"/>
        </w:numPr>
        <w:ind w:left="340"/>
        <w:rPr>
          <w:szCs w:val="20"/>
        </w:rPr>
      </w:pPr>
      <w:r w:rsidRPr="00AC1CAB">
        <w:rPr>
          <w:szCs w:val="20"/>
        </w:rPr>
        <w:t xml:space="preserve">MUL is MUL dummies. MUL2, MUL3 and MUL4 represent </w:t>
      </w:r>
      <w:proofErr w:type="spellStart"/>
      <w:r w:rsidRPr="00AC1CAB">
        <w:rPr>
          <w:szCs w:val="20"/>
        </w:rPr>
        <w:t>meshblocks</w:t>
      </w:r>
      <w:proofErr w:type="spellEnd"/>
      <w:r w:rsidRPr="00AC1CAB">
        <w:rPr>
          <w:szCs w:val="20"/>
        </w:rPr>
        <w:t xml:space="preserve"> just inside MUL within 2km, just outside MUL within 2km and greater 2km outside MUL. MUL1, well inside MUL, is set to be a baseline.</w:t>
      </w:r>
    </w:p>
    <w:p w:rsidR="005D568A" w:rsidRPr="00AC1CAB" w:rsidRDefault="005D568A" w:rsidP="005D568A">
      <w:pPr>
        <w:pStyle w:val="Numberedlist"/>
        <w:numPr>
          <w:ilvl w:val="0"/>
          <w:numId w:val="0"/>
        </w:numPr>
        <w:ind w:left="340"/>
        <w:rPr>
          <w:szCs w:val="20"/>
        </w:rPr>
      </w:pPr>
      <w:r w:rsidRPr="00AC1CAB">
        <w:rPr>
          <w:szCs w:val="20"/>
        </w:rPr>
        <w:t xml:space="preserve">TA is TA dummies. TA4, TA5, TA6, TA8, TA9 and TA10 represent Rodney, North Shore, </w:t>
      </w:r>
      <w:proofErr w:type="spellStart"/>
      <w:r w:rsidRPr="00AC1CAB">
        <w:rPr>
          <w:szCs w:val="20"/>
        </w:rPr>
        <w:t>Waikakere</w:t>
      </w:r>
      <w:proofErr w:type="spellEnd"/>
      <w:r w:rsidRPr="00AC1CAB">
        <w:rPr>
          <w:szCs w:val="20"/>
        </w:rPr>
        <w:t xml:space="preserve">, </w:t>
      </w:r>
      <w:proofErr w:type="spellStart"/>
      <w:r w:rsidRPr="00AC1CAB">
        <w:rPr>
          <w:szCs w:val="20"/>
        </w:rPr>
        <w:t>Manukau</w:t>
      </w:r>
      <w:proofErr w:type="spellEnd"/>
      <w:r w:rsidRPr="00AC1CAB">
        <w:rPr>
          <w:szCs w:val="20"/>
        </w:rPr>
        <w:t xml:space="preserve">, </w:t>
      </w:r>
      <w:proofErr w:type="spellStart"/>
      <w:r w:rsidRPr="00AC1CAB">
        <w:rPr>
          <w:szCs w:val="20"/>
        </w:rPr>
        <w:t>Papakura</w:t>
      </w:r>
      <w:proofErr w:type="spellEnd"/>
      <w:r w:rsidRPr="00AC1CAB">
        <w:rPr>
          <w:szCs w:val="20"/>
        </w:rPr>
        <w:t>, Franklin. Auckland city, TA7, is set to a baseline.</w:t>
      </w:r>
    </w:p>
    <w:p w:rsidR="005D568A" w:rsidRDefault="005D568A" w:rsidP="005D568A">
      <w:pPr>
        <w:pStyle w:val="Numberedlist"/>
        <w:numPr>
          <w:ilvl w:val="0"/>
          <w:numId w:val="0"/>
        </w:numPr>
        <w:ind w:left="340"/>
        <w:rPr>
          <w:szCs w:val="20"/>
        </w:rPr>
      </w:pPr>
      <w:r w:rsidRPr="00AC1CAB">
        <w:rPr>
          <w:szCs w:val="20"/>
        </w:rPr>
        <w:t>URBAN is an urban dummy. It is defined by Census classification in 2006.</w:t>
      </w:r>
    </w:p>
    <w:p w:rsidR="00474A3B" w:rsidRPr="00261913" w:rsidRDefault="00474A3B" w:rsidP="00474A3B">
      <w:pPr>
        <w:pStyle w:val="Numberedlist"/>
        <w:numPr>
          <w:ilvl w:val="0"/>
          <w:numId w:val="0"/>
        </w:numPr>
        <w:ind w:left="340"/>
        <w:rPr>
          <w:rFonts w:eastAsiaTheme="minorEastAsia"/>
          <w:szCs w:val="20"/>
          <w:lang w:eastAsia="zh-CN"/>
        </w:rPr>
      </w:pPr>
      <w:r>
        <w:rPr>
          <w:rFonts w:eastAsiaTheme="minorEastAsia" w:hint="eastAsia"/>
          <w:szCs w:val="20"/>
          <w:lang w:eastAsia="zh-CN"/>
        </w:rPr>
        <w:t>NOD</w:t>
      </w:r>
      <w:r>
        <w:rPr>
          <w:rFonts w:eastAsiaTheme="minorEastAsia" w:hint="eastAsia"/>
          <w:szCs w:val="20"/>
          <w:lang w:eastAsia="zh-CN"/>
        </w:rPr>
        <w:t xml:space="preserve"> is local centric node dummy variable. NOD=1 when a </w:t>
      </w:r>
      <w:proofErr w:type="spellStart"/>
      <w:r>
        <w:rPr>
          <w:rFonts w:eastAsiaTheme="minorEastAsia" w:hint="eastAsia"/>
          <w:szCs w:val="20"/>
          <w:lang w:eastAsia="zh-CN"/>
        </w:rPr>
        <w:t>meshblock</w:t>
      </w:r>
      <w:proofErr w:type="spellEnd"/>
      <w:r>
        <w:rPr>
          <w:rFonts w:eastAsiaTheme="minorEastAsia" w:hint="eastAsia"/>
          <w:szCs w:val="20"/>
          <w:lang w:eastAsia="zh-CN"/>
        </w:rPr>
        <w:t xml:space="preserve"> is no more than 5km away from the centric node. Otherwise, NOD=0.</w:t>
      </w:r>
      <w:bookmarkStart w:id="0" w:name="_GoBack"/>
      <w:bookmarkEnd w:id="0"/>
    </w:p>
    <w:p w:rsidR="005D568A" w:rsidRPr="006A67FD" w:rsidRDefault="005D568A" w:rsidP="005D568A">
      <w:pPr>
        <w:pStyle w:val="Numberedlist"/>
        <w:numPr>
          <w:ilvl w:val="0"/>
          <w:numId w:val="0"/>
        </w:numPr>
        <w:ind w:left="340"/>
        <w:rPr>
          <w:szCs w:val="20"/>
        </w:rPr>
      </w:pPr>
      <w:r w:rsidRPr="006A67FD">
        <w:rPr>
          <w:szCs w:val="20"/>
        </w:rPr>
        <w:t xml:space="preserve">LAT and LON represent latitudes and longitudes of central </w:t>
      </w:r>
      <w:proofErr w:type="spellStart"/>
      <w:r w:rsidRPr="006A67FD">
        <w:rPr>
          <w:szCs w:val="20"/>
        </w:rPr>
        <w:t>meshblock</w:t>
      </w:r>
      <w:proofErr w:type="spellEnd"/>
      <w:r w:rsidRPr="006A67FD">
        <w:rPr>
          <w:szCs w:val="20"/>
        </w:rPr>
        <w:t xml:space="preserve">. They have linear, quadratic and interaction terms. </w:t>
      </w:r>
    </w:p>
    <w:p w:rsidR="005D568A" w:rsidRPr="00AC1CAB" w:rsidRDefault="005D568A" w:rsidP="005D568A">
      <w:pPr>
        <w:pStyle w:val="Numberedlist"/>
        <w:numPr>
          <w:ilvl w:val="0"/>
          <w:numId w:val="0"/>
        </w:numPr>
        <w:ind w:left="340"/>
        <w:rPr>
          <w:szCs w:val="20"/>
        </w:rPr>
      </w:pPr>
      <m:oMath>
        <m:r>
          <w:rPr>
            <w:rFonts w:ascii="Cambria Math" w:hAnsi="Cambria Math"/>
            <w:szCs w:val="20"/>
          </w:rPr>
          <m:t>α</m:t>
        </m:r>
      </m:oMath>
      <w:r w:rsidRPr="00AC1CAB">
        <w:rPr>
          <w:szCs w:val="20"/>
        </w:rPr>
        <w:t xml:space="preserve"> </w:t>
      </w:r>
      <w:proofErr w:type="gramStart"/>
      <w:r w:rsidRPr="00AC1CAB">
        <w:rPr>
          <w:szCs w:val="20"/>
        </w:rPr>
        <w:t>is</w:t>
      </w:r>
      <w:proofErr w:type="gramEnd"/>
      <w:r w:rsidRPr="00AC1CAB">
        <w:rPr>
          <w:szCs w:val="20"/>
        </w:rPr>
        <w:t xml:space="preserve"> the intercept</w:t>
      </w:r>
    </w:p>
    <w:p w:rsidR="005D568A" w:rsidRDefault="005D568A" w:rsidP="005D568A">
      <w:pPr>
        <w:pStyle w:val="Numberedlist"/>
        <w:numPr>
          <w:ilvl w:val="0"/>
          <w:numId w:val="0"/>
        </w:numPr>
        <w:ind w:left="340"/>
        <w:rPr>
          <w:szCs w:val="20"/>
        </w:rPr>
      </w:pPr>
      <m:oMath>
        <m:r>
          <w:rPr>
            <w:rFonts w:ascii="Cambria Math" w:hAnsi="Cambria Math"/>
            <w:szCs w:val="20"/>
          </w:rPr>
          <m:t>ε</m:t>
        </m:r>
      </m:oMath>
      <w:r>
        <w:rPr>
          <w:szCs w:val="20"/>
        </w:rPr>
        <w:t xml:space="preserve"> </w:t>
      </w:r>
      <w:proofErr w:type="gramStart"/>
      <w:r>
        <w:rPr>
          <w:szCs w:val="20"/>
        </w:rPr>
        <w:t>is</w:t>
      </w:r>
      <w:proofErr w:type="gramEnd"/>
      <w:r>
        <w:rPr>
          <w:szCs w:val="20"/>
        </w:rPr>
        <w:t xml:space="preserve"> residuals that are</w:t>
      </w:r>
      <w:r w:rsidRPr="00AC1CAB">
        <w:rPr>
          <w:szCs w:val="20"/>
        </w:rPr>
        <w:t xml:space="preserve"> assumed to be independen</w:t>
      </w:r>
      <w:r>
        <w:rPr>
          <w:szCs w:val="20"/>
        </w:rPr>
        <w:t>tly distributed.</w:t>
      </w:r>
    </w:p>
    <w:p w:rsidR="005D568A" w:rsidRDefault="005D568A" w:rsidP="005D568A"/>
    <w:p w:rsidR="005D568A" w:rsidRPr="000E48D8" w:rsidRDefault="005D568A" w:rsidP="005D568A">
      <w:pPr>
        <w:rPr>
          <w:b/>
          <w:sz w:val="28"/>
          <w:szCs w:val="28"/>
        </w:rPr>
      </w:pPr>
      <w:r w:rsidRPr="000E48D8">
        <w:rPr>
          <w:b/>
          <w:sz w:val="28"/>
          <w:szCs w:val="28"/>
        </w:rPr>
        <w:t>Data</w:t>
      </w:r>
    </w:p>
    <w:p w:rsidR="005D568A" w:rsidRDefault="005D568A" w:rsidP="005D568A">
      <w:pPr>
        <w:rPr>
          <w:sz w:val="22"/>
        </w:rPr>
      </w:pPr>
      <w:r>
        <w:rPr>
          <w:sz w:val="22"/>
        </w:rPr>
        <w:t>Historic land value data from 1995 to 2010 was sourced by Quotable Value New Zealand (QVNZ). The valuation data in the QVNZ series provides capital, land and improvement values as well as land area and type. However, these values are only updated when re-</w:t>
      </w:r>
      <w:r>
        <w:rPr>
          <w:sz w:val="22"/>
        </w:rPr>
        <w:lastRenderedPageBreak/>
        <w:t xml:space="preserve">valuations are carried out. That normally occurs in a three-year cycle, and dates varied slightly different across the territorial authorities. Linear interpolation was applied to obtain estimated land prices between valuation cycles. Interpolation required another QVNZ dataset </w:t>
      </w:r>
      <w:r w:rsidR="00B47BE4">
        <w:rPr>
          <w:sz w:val="22"/>
        </w:rPr>
        <w:t>– sales</w:t>
      </w:r>
      <w:r>
        <w:rPr>
          <w:sz w:val="22"/>
        </w:rPr>
        <w:t xml:space="preserve"> data</w:t>
      </w:r>
      <w:r>
        <w:rPr>
          <w:rStyle w:val="FootnoteReference"/>
          <w:sz w:val="22"/>
        </w:rPr>
        <w:footnoteReference w:id="9"/>
      </w:r>
      <w:r>
        <w:rPr>
          <w:sz w:val="22"/>
        </w:rPr>
        <w:t xml:space="preserve"> </w:t>
      </w:r>
      <w:proofErr w:type="gramStart"/>
      <w:r>
        <w:rPr>
          <w:sz w:val="22"/>
        </w:rPr>
        <w:t>–  to</w:t>
      </w:r>
      <w:proofErr w:type="gramEnd"/>
      <w:r>
        <w:rPr>
          <w:sz w:val="22"/>
        </w:rPr>
        <w:t xml:space="preserve"> indicate price movement. There are two main assumptions for interpolation: 1) land prices are strictly correlated with sale prices and 2) movements of land prices at </w:t>
      </w:r>
      <w:proofErr w:type="spellStart"/>
      <w:r>
        <w:rPr>
          <w:sz w:val="22"/>
        </w:rPr>
        <w:t>meshblocks</w:t>
      </w:r>
      <w:proofErr w:type="spellEnd"/>
      <w:r>
        <w:rPr>
          <w:sz w:val="22"/>
        </w:rPr>
        <w:t xml:space="preserve"> within the same territorial authority are identical. The first assumption was made to match movement of land prices with sales prices. And the second assumption was made as sales price at </w:t>
      </w:r>
      <w:proofErr w:type="spellStart"/>
      <w:r>
        <w:rPr>
          <w:sz w:val="22"/>
        </w:rPr>
        <w:t>meshblock</w:t>
      </w:r>
      <w:proofErr w:type="spellEnd"/>
      <w:r>
        <w:rPr>
          <w:sz w:val="22"/>
        </w:rPr>
        <w:t xml:space="preserve"> level was unavailable.</w:t>
      </w:r>
    </w:p>
    <w:p w:rsidR="005D568A" w:rsidRDefault="005D568A" w:rsidP="005D568A">
      <w:pPr>
        <w:rPr>
          <w:sz w:val="22"/>
        </w:rPr>
      </w:pPr>
    </w:p>
    <w:p w:rsidR="005D568A" w:rsidRDefault="005D568A" w:rsidP="005D568A">
      <w:pPr>
        <w:rPr>
          <w:sz w:val="22"/>
        </w:rPr>
      </w:pPr>
      <w:r>
        <w:rPr>
          <w:sz w:val="22"/>
        </w:rPr>
        <w:t xml:space="preserve">The method of linear interpolation is done in the following equation (2). </w:t>
      </w:r>
    </w:p>
    <w:p w:rsidR="005D568A" w:rsidRDefault="005D568A" w:rsidP="005D568A">
      <w:pPr>
        <w:rPr>
          <w:sz w:val="22"/>
        </w:rPr>
      </w:pPr>
    </w:p>
    <w:p w:rsidR="005D568A" w:rsidRDefault="000A4352" w:rsidP="005D568A">
      <w:pPr>
        <w:jc w:val="center"/>
        <w:rPr>
          <w:sz w:val="22"/>
        </w:rPr>
      </w:pPr>
      <m:oMath>
        <m:sSub>
          <m:sSubPr>
            <m:ctrlPr>
              <w:rPr>
                <w:rFonts w:ascii="Cambria Math" w:hAnsi="Cambria Math"/>
                <w:i/>
              </w:rPr>
            </m:ctrlPr>
          </m:sSubPr>
          <m:e>
            <m:r>
              <w:rPr>
                <w:rFonts w:ascii="Cambria Math" w:hAnsi="Cambria Math"/>
              </w:rPr>
              <m:t>L</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 xml:space="preserve"> </m:t>
            </m:r>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num>
              <m:den>
                <m:sSub>
                  <m:sSubPr>
                    <m:ctrlPr>
                      <w:rPr>
                        <w:rFonts w:ascii="Cambria Math" w:hAnsi="Cambria Math"/>
                        <w:i/>
                      </w:rPr>
                    </m:ctrlPr>
                  </m:sSubPr>
                  <m:e>
                    <m:r>
                      <w:rPr>
                        <w:rFonts w:ascii="Cambria Math" w:hAnsi="Cambria Math"/>
                      </w:rPr>
                      <m:t>S</m:t>
                    </m:r>
                  </m:e>
                  <m:sub>
                    <m:r>
                      <w:rPr>
                        <w:rFonts w:ascii="Cambria Math" w:hAnsi="Cambria Math"/>
                      </w:rPr>
                      <m:t>t+c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den>
            </m:f>
          </m:e>
        </m:d>
      </m:oMath>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r>
      <w:r w:rsidR="005D568A">
        <w:rPr>
          <w:rFonts w:eastAsiaTheme="minorEastAsia"/>
          <w:sz w:val="22"/>
        </w:rPr>
        <w:tab/>
        <w:t>(2)</w:t>
      </w:r>
    </w:p>
    <w:p w:rsidR="005D568A" w:rsidRDefault="005D568A" w:rsidP="005D568A">
      <w:pPr>
        <w:jc w:val="both"/>
        <w:rPr>
          <w:sz w:val="22"/>
        </w:rPr>
      </w:pPr>
    </w:p>
    <w:p w:rsidR="005D568A" w:rsidRDefault="005D568A" w:rsidP="005D568A">
      <w:pPr>
        <w:rPr>
          <w:sz w:val="22"/>
        </w:rPr>
      </w:pPr>
      <w:r>
        <w:rPr>
          <w:sz w:val="22"/>
        </w:rPr>
        <w:t xml:space="preserve">Scripts L and S are land prices and sales price index. Sub-scripts t and c represent the first year of valuation and the length of cycle (e.g. 2, 3 or 4). Subscript </w:t>
      </w:r>
      <w:proofErr w:type="spellStart"/>
      <w:r>
        <w:rPr>
          <w:sz w:val="22"/>
        </w:rPr>
        <w:t>i</w:t>
      </w:r>
      <w:proofErr w:type="spellEnd"/>
      <w:r>
        <w:rPr>
          <w:sz w:val="22"/>
        </w:rPr>
        <w:t xml:space="preserve"> represents the time period of </w:t>
      </w:r>
      <w:proofErr w:type="gramStart"/>
      <w:r>
        <w:rPr>
          <w:sz w:val="22"/>
        </w:rPr>
        <w:t>interpolation, that</w:t>
      </w:r>
      <w:proofErr w:type="gramEnd"/>
      <w:r>
        <w:rPr>
          <w:sz w:val="22"/>
        </w:rPr>
        <w:t xml:space="preserve"> falls between t and t + c. </w:t>
      </w:r>
    </w:p>
    <w:p w:rsidR="005D568A" w:rsidRDefault="005D568A" w:rsidP="005D568A">
      <w:pPr>
        <w:jc w:val="both"/>
        <w:rPr>
          <w:sz w:val="22"/>
        </w:rPr>
      </w:pPr>
    </w:p>
    <w:p w:rsidR="005D568A" w:rsidRDefault="005D568A" w:rsidP="005D568A">
      <w:pPr>
        <w:rPr>
          <w:rFonts w:eastAsiaTheme="minorEastAsia"/>
        </w:rPr>
      </w:pPr>
      <w:r w:rsidRPr="0015167C">
        <w:rPr>
          <w:sz w:val="22"/>
        </w:rPr>
        <w:t>Under the equation, interpolated land prices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t+i</m:t>
            </m:r>
          </m:sub>
        </m:sSub>
      </m:oMath>
      <w:r w:rsidRPr="0015167C">
        <w:rPr>
          <w:rFonts w:eastAsiaTheme="minorEastAsia"/>
          <w:sz w:val="22"/>
        </w:rPr>
        <w:t xml:space="preserve">) </w:t>
      </w:r>
      <w:r>
        <w:rPr>
          <w:rFonts w:eastAsiaTheme="minorEastAsia"/>
          <w:sz w:val="22"/>
        </w:rPr>
        <w:t>are calculated in two parts. The first part is the observed land price at the beginning of the valuation year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Pr>
          <w:rFonts w:eastAsiaTheme="minorEastAsia"/>
        </w:rPr>
        <w:t xml:space="preserve">). </w:t>
      </w:r>
      <w:r>
        <w:rPr>
          <w:rFonts w:eastAsiaTheme="minorEastAsia"/>
          <w:sz w:val="22"/>
        </w:rPr>
        <w:t xml:space="preserve">The second </w:t>
      </w:r>
      <w:proofErr w:type="gramStart"/>
      <w:r>
        <w:rPr>
          <w:rFonts w:eastAsiaTheme="minorEastAsia"/>
          <w:sz w:val="22"/>
        </w:rPr>
        <w:t>part calculate</w:t>
      </w:r>
      <w:proofErr w:type="gramEnd"/>
      <w:r>
        <w:rPr>
          <w:rFonts w:eastAsiaTheme="minorEastAsia"/>
          <w:sz w:val="22"/>
        </w:rPr>
        <w:t xml:space="preserve"> value growth between valuation years. That discounts the observed increment between cycles </w:t>
      </w:r>
      <m:oMath>
        <m:d>
          <m:dPr>
            <m:ctrlPr>
              <w:rPr>
                <w:rFonts w:ascii="Cambria Math" w:hAnsi="Cambria Math"/>
                <w:i/>
                <w:sz w:val="22"/>
              </w:rPr>
            </m:ctrlPr>
          </m:dPr>
          <m:e>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L</m:t>
                </m:r>
              </m:e>
              <m:sub>
                <m:r>
                  <w:rPr>
                    <w:rFonts w:ascii="Cambria Math" w:hAnsi="Cambria Math"/>
                    <w:sz w:val="22"/>
                  </w:rPr>
                  <m:t>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t</m:t>
                </m:r>
              </m:sub>
            </m:sSub>
            <m:r>
              <w:rPr>
                <w:rFonts w:ascii="Cambria Math" w:hAnsi="Cambria Math"/>
                <w:sz w:val="22"/>
              </w:rPr>
              <m:t xml:space="preserve"> </m:t>
            </m:r>
          </m:e>
        </m:d>
      </m:oMath>
      <w:r>
        <w:rPr>
          <w:rFonts w:eastAsiaTheme="minorEastAsia"/>
          <w:sz w:val="22"/>
        </w:rPr>
        <w:t xml:space="preserve"> by the proportion of incremental change of sale price index over the same </w:t>
      </w:r>
      <w:proofErr w:type="gramStart"/>
      <w:r>
        <w:rPr>
          <w:rFonts w:eastAsiaTheme="minorEastAsia"/>
          <w:sz w:val="22"/>
        </w:rPr>
        <w:t xml:space="preserve">period </w:t>
      </w:r>
      <w:proofErr w:type="gramEnd"/>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num>
              <m:den>
                <m:sSub>
                  <m:sSubPr>
                    <m:ctrlPr>
                      <w:rPr>
                        <w:rFonts w:ascii="Cambria Math" w:hAnsi="Cambria Math"/>
                        <w:i/>
                      </w:rPr>
                    </m:ctrlPr>
                  </m:sSubPr>
                  <m:e>
                    <m:r>
                      <w:rPr>
                        <w:rFonts w:ascii="Cambria Math" w:hAnsi="Cambria Math"/>
                      </w:rPr>
                      <m:t>S</m:t>
                    </m:r>
                  </m:e>
                  <m:sub>
                    <m:r>
                      <w:rPr>
                        <w:rFonts w:ascii="Cambria Math" w:hAnsi="Cambria Math"/>
                      </w:rPr>
                      <m:t>t+c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den>
            </m:f>
          </m:e>
        </m:d>
      </m:oMath>
      <w:r>
        <w:rPr>
          <w:rFonts w:eastAsiaTheme="minorEastAsia"/>
        </w:rPr>
        <w:t xml:space="preserve">. </w:t>
      </w:r>
    </w:p>
    <w:p w:rsidR="005D568A" w:rsidRDefault="005D568A" w:rsidP="005D568A">
      <w:pPr>
        <w:rPr>
          <w:rFonts w:eastAsiaTheme="minorEastAsia"/>
        </w:rPr>
      </w:pPr>
    </w:p>
    <w:p w:rsidR="005D568A" w:rsidRDefault="005D568A" w:rsidP="005D568A">
      <w:pPr>
        <w:rPr>
          <w:sz w:val="22"/>
        </w:rPr>
      </w:pPr>
      <w:r>
        <w:rPr>
          <w:sz w:val="22"/>
        </w:rPr>
        <w:t xml:space="preserve">Since the valuation data is obtained triennially, data and results from modelling are reported for every third year: 1995, 1998, 2001, 2004, 2007 and 2010. Real land prices are calculated on the basis of 1995 constant prices using New Zealand’s CPI. </w:t>
      </w:r>
    </w:p>
    <w:p w:rsidR="005D568A" w:rsidRDefault="005D568A" w:rsidP="005D568A">
      <w:pPr>
        <w:rPr>
          <w:sz w:val="22"/>
        </w:rPr>
      </w:pPr>
    </w:p>
    <w:p w:rsidR="005D568A" w:rsidRDefault="005D568A" w:rsidP="005D568A">
      <w:pPr>
        <w:rPr>
          <w:sz w:val="22"/>
        </w:rPr>
      </w:pPr>
      <w:r>
        <w:rPr>
          <w:sz w:val="22"/>
        </w:rPr>
        <w:t xml:space="preserve">The following tables (table 1 – 3) provide summary statistics on real land prices by </w:t>
      </w:r>
      <w:proofErr w:type="spellStart"/>
      <w:r>
        <w:rPr>
          <w:sz w:val="22"/>
        </w:rPr>
        <w:t>quantiles</w:t>
      </w:r>
      <w:proofErr w:type="spellEnd"/>
      <w:r>
        <w:rPr>
          <w:sz w:val="22"/>
        </w:rPr>
        <w:t xml:space="preserve"> and MUL groups and reveal a number of key results:</w:t>
      </w:r>
    </w:p>
    <w:p w:rsidR="005D568A" w:rsidRDefault="005D568A" w:rsidP="005D568A">
      <w:pPr>
        <w:rPr>
          <w:sz w:val="22"/>
        </w:rPr>
      </w:pPr>
    </w:p>
    <w:p w:rsidR="005D568A" w:rsidRDefault="005D568A" w:rsidP="005D568A">
      <w:pPr>
        <w:pStyle w:val="ListParagraph"/>
        <w:numPr>
          <w:ilvl w:val="0"/>
          <w:numId w:val="27"/>
        </w:numPr>
        <w:rPr>
          <w:sz w:val="22"/>
        </w:rPr>
      </w:pPr>
      <w:r>
        <w:rPr>
          <w:sz w:val="22"/>
        </w:rPr>
        <w:t>L</w:t>
      </w:r>
      <w:r w:rsidRPr="002E2003">
        <w:rPr>
          <w:sz w:val="22"/>
        </w:rPr>
        <w:t>and prices decline from MUL1 to MUL4</w:t>
      </w:r>
      <w:r>
        <w:rPr>
          <w:sz w:val="22"/>
        </w:rPr>
        <w:t>, that is, from well inside the MUL to well outside (more than 2km) the MUL</w:t>
      </w:r>
      <w:r w:rsidRPr="002E2003">
        <w:rPr>
          <w:sz w:val="22"/>
        </w:rPr>
        <w:t xml:space="preserve">. This is partially associated with distances to </w:t>
      </w:r>
      <w:r>
        <w:rPr>
          <w:sz w:val="22"/>
        </w:rPr>
        <w:t xml:space="preserve">the </w:t>
      </w:r>
      <w:r w:rsidRPr="002E2003">
        <w:rPr>
          <w:sz w:val="22"/>
        </w:rPr>
        <w:t>Auckland CBD.</w:t>
      </w:r>
    </w:p>
    <w:p w:rsidR="005D568A" w:rsidRDefault="005D568A" w:rsidP="005D568A">
      <w:pPr>
        <w:pStyle w:val="ListParagraph"/>
        <w:rPr>
          <w:sz w:val="22"/>
        </w:rPr>
      </w:pPr>
    </w:p>
    <w:p w:rsidR="005D568A" w:rsidRDefault="005D568A" w:rsidP="005D568A">
      <w:pPr>
        <w:pStyle w:val="ListParagraph"/>
        <w:numPr>
          <w:ilvl w:val="0"/>
          <w:numId w:val="27"/>
        </w:numPr>
        <w:rPr>
          <w:sz w:val="22"/>
        </w:rPr>
      </w:pPr>
      <w:r>
        <w:rPr>
          <w:sz w:val="22"/>
        </w:rPr>
        <w:t>S</w:t>
      </w:r>
      <w:r w:rsidRPr="002E2003">
        <w:rPr>
          <w:sz w:val="22"/>
        </w:rPr>
        <w:t>tep price changes are associated with the MUL boundary for lower-</w:t>
      </w:r>
      <w:proofErr w:type="spellStart"/>
      <w:r w:rsidRPr="002E2003">
        <w:rPr>
          <w:sz w:val="22"/>
        </w:rPr>
        <w:t>quantile</w:t>
      </w:r>
      <w:proofErr w:type="spellEnd"/>
      <w:r w:rsidRPr="002E2003">
        <w:rPr>
          <w:sz w:val="22"/>
        </w:rPr>
        <w:t xml:space="preserve"> </w:t>
      </w:r>
      <w:r>
        <w:rPr>
          <w:sz w:val="22"/>
        </w:rPr>
        <w:t>and median priced land</w:t>
      </w:r>
      <w:r w:rsidRPr="002E2003">
        <w:rPr>
          <w:sz w:val="22"/>
        </w:rPr>
        <w:t xml:space="preserve">. In 1995-2010, relative price differences between MUL2 </w:t>
      </w:r>
      <w:r>
        <w:rPr>
          <w:sz w:val="22"/>
        </w:rPr>
        <w:t xml:space="preserve">(within 2km inside the MUL) </w:t>
      </w:r>
      <w:r w:rsidRPr="002E2003">
        <w:rPr>
          <w:sz w:val="22"/>
        </w:rPr>
        <w:t xml:space="preserve">and MUL3 </w:t>
      </w:r>
      <w:r>
        <w:rPr>
          <w:sz w:val="22"/>
        </w:rPr>
        <w:t>(within 2 km just outside the MUL) were</w:t>
      </w:r>
      <w:r w:rsidRPr="002E2003">
        <w:rPr>
          <w:sz w:val="22"/>
        </w:rPr>
        <w:t xml:space="preserve"> 7 </w:t>
      </w:r>
      <w:r>
        <w:rPr>
          <w:sz w:val="22"/>
        </w:rPr>
        <w:t xml:space="preserve">for lower quartile </w:t>
      </w:r>
      <w:r w:rsidRPr="002E2003">
        <w:rPr>
          <w:sz w:val="22"/>
        </w:rPr>
        <w:t xml:space="preserve">and 3.5 </w:t>
      </w:r>
      <w:r>
        <w:rPr>
          <w:sz w:val="22"/>
        </w:rPr>
        <w:t>for median priced land</w:t>
      </w:r>
      <w:r w:rsidRPr="002E2003">
        <w:rPr>
          <w:sz w:val="22"/>
        </w:rPr>
        <w:t xml:space="preserve"> (</w:t>
      </w:r>
      <w:r w:rsidR="00347762" w:rsidRPr="00B47BE4">
        <w:rPr>
          <w:sz w:val="22"/>
        </w:rPr>
        <w:t>F</w:t>
      </w:r>
      <w:r w:rsidR="00B47BE4">
        <w:rPr>
          <w:sz w:val="22"/>
        </w:rPr>
        <w:t>igure 4</w:t>
      </w:r>
      <w:r w:rsidRPr="00B47BE4">
        <w:rPr>
          <w:sz w:val="22"/>
        </w:rPr>
        <w:t>).</w:t>
      </w:r>
      <w:r w:rsidRPr="002E2003">
        <w:rPr>
          <w:sz w:val="22"/>
        </w:rPr>
        <w:t xml:space="preserve"> </w:t>
      </w:r>
    </w:p>
    <w:p w:rsidR="005D568A" w:rsidRPr="001446D9" w:rsidRDefault="005D568A" w:rsidP="005D568A">
      <w:pPr>
        <w:pStyle w:val="ListParagraph"/>
        <w:rPr>
          <w:sz w:val="22"/>
        </w:rPr>
      </w:pPr>
    </w:p>
    <w:p w:rsidR="005D568A" w:rsidRPr="002E2003" w:rsidRDefault="005D568A" w:rsidP="005D568A">
      <w:pPr>
        <w:pStyle w:val="ListParagraph"/>
        <w:numPr>
          <w:ilvl w:val="0"/>
          <w:numId w:val="27"/>
        </w:numPr>
        <w:rPr>
          <w:sz w:val="22"/>
        </w:rPr>
      </w:pPr>
      <w:r>
        <w:rPr>
          <w:sz w:val="22"/>
        </w:rPr>
        <w:t>L</w:t>
      </w:r>
      <w:r w:rsidRPr="002E2003">
        <w:rPr>
          <w:sz w:val="22"/>
        </w:rPr>
        <w:t>ower-</w:t>
      </w:r>
      <w:r w:rsidR="00B47BE4">
        <w:rPr>
          <w:sz w:val="22"/>
        </w:rPr>
        <w:t>quar</w:t>
      </w:r>
      <w:r w:rsidR="00347762">
        <w:rPr>
          <w:sz w:val="22"/>
        </w:rPr>
        <w:t>tile and median priced land</w:t>
      </w:r>
      <w:r w:rsidRPr="002E2003">
        <w:rPr>
          <w:sz w:val="22"/>
        </w:rPr>
        <w:t xml:space="preserve"> in MUL2 </w:t>
      </w:r>
      <w:r>
        <w:rPr>
          <w:sz w:val="22"/>
        </w:rPr>
        <w:t xml:space="preserve">(within 2km inside the MUL) </w:t>
      </w:r>
      <w:r w:rsidRPr="002E2003">
        <w:rPr>
          <w:sz w:val="22"/>
        </w:rPr>
        <w:t xml:space="preserve">experienced the highest growth rates. In comparison, price growth for land in MUL3 </w:t>
      </w:r>
      <w:r>
        <w:rPr>
          <w:sz w:val="22"/>
        </w:rPr>
        <w:t xml:space="preserve">(within 2km outside the MUL) </w:t>
      </w:r>
      <w:r w:rsidRPr="002E2003">
        <w:rPr>
          <w:sz w:val="22"/>
        </w:rPr>
        <w:t xml:space="preserve">is </w:t>
      </w:r>
      <w:r w:rsidR="00347762">
        <w:rPr>
          <w:sz w:val="22"/>
        </w:rPr>
        <w:t>the lowest. T</w:t>
      </w:r>
      <w:r w:rsidRPr="002E2003">
        <w:rPr>
          <w:sz w:val="22"/>
        </w:rPr>
        <w:t>his suggests that the la</w:t>
      </w:r>
      <w:r>
        <w:rPr>
          <w:sz w:val="22"/>
        </w:rPr>
        <w:t xml:space="preserve">nd price impact of the MUL has </w:t>
      </w:r>
      <w:r w:rsidRPr="002E2003">
        <w:rPr>
          <w:sz w:val="22"/>
        </w:rPr>
        <w:t>been increasing and</w:t>
      </w:r>
      <w:r>
        <w:rPr>
          <w:sz w:val="22"/>
        </w:rPr>
        <w:t xml:space="preserve"> concentrated on cheaper land</w:t>
      </w:r>
      <w:r w:rsidRPr="002E2003">
        <w:rPr>
          <w:sz w:val="22"/>
        </w:rPr>
        <w:t xml:space="preserve"> located around the boundaries. </w:t>
      </w:r>
    </w:p>
    <w:p w:rsidR="005D568A" w:rsidRDefault="005D568A" w:rsidP="005D568A">
      <w:pPr>
        <w:rPr>
          <w:sz w:val="22"/>
        </w:rPr>
      </w:pPr>
    </w:p>
    <w:p w:rsidR="005D568A" w:rsidRPr="005A4D25" w:rsidRDefault="001B432F" w:rsidP="005D568A">
      <w:pPr>
        <w:rPr>
          <w:sz w:val="22"/>
        </w:rPr>
      </w:pPr>
      <w:r>
        <w:rPr>
          <w:sz w:val="22"/>
        </w:rPr>
        <w:t>Table 1: Real lower-quar</w:t>
      </w:r>
      <w:r w:rsidR="005D568A" w:rsidRPr="005A4D25">
        <w:rPr>
          <w:sz w:val="22"/>
        </w:rPr>
        <w:t>tile land price per he</w:t>
      </w:r>
      <w:r w:rsidR="00F874B7">
        <w:rPr>
          <w:sz w:val="22"/>
        </w:rPr>
        <w:t>c</w:t>
      </w:r>
      <w:r w:rsidR="005D568A" w:rsidRPr="005A4D25">
        <w:rPr>
          <w:sz w:val="22"/>
        </w:rPr>
        <w:t>tare (based on 1995 price) by MUL</w:t>
      </w:r>
    </w:p>
    <w:tbl>
      <w:tblPr>
        <w:tblStyle w:val="LightShading"/>
        <w:tblW w:w="9149" w:type="dxa"/>
        <w:tblInd w:w="93" w:type="dxa"/>
        <w:tblLook w:val="04A0" w:firstRow="1" w:lastRow="0" w:firstColumn="1" w:lastColumn="0" w:noHBand="0" w:noVBand="1"/>
      </w:tblPr>
      <w:tblGrid>
        <w:gridCol w:w="1130"/>
        <w:gridCol w:w="926"/>
        <w:gridCol w:w="939"/>
        <w:gridCol w:w="939"/>
        <w:gridCol w:w="1088"/>
        <w:gridCol w:w="1088"/>
        <w:gridCol w:w="1088"/>
        <w:gridCol w:w="755"/>
        <w:gridCol w:w="1196"/>
      </w:tblGrid>
      <w:tr w:rsidR="005D568A" w:rsidRPr="00F13B49" w:rsidTr="001B43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0" w:type="dxa"/>
            <w:noWrap/>
            <w:hideMark/>
          </w:tcPr>
          <w:p w:rsidR="005D568A" w:rsidRPr="00F13B49" w:rsidRDefault="001B432F" w:rsidP="001B432F">
            <w:pPr>
              <w:jc w:val="center"/>
              <w:rPr>
                <w:rFonts w:ascii="Calibri" w:eastAsia="Times New Roman" w:hAnsi="Calibri" w:cs="Calibri"/>
                <w:color w:val="000000"/>
                <w:szCs w:val="20"/>
                <w:lang w:eastAsia="en-NZ"/>
              </w:rPr>
            </w:pPr>
            <w:r>
              <w:rPr>
                <w:rFonts w:ascii="Calibri" w:eastAsia="Times New Roman" w:hAnsi="Calibri" w:cs="Calibri"/>
                <w:color w:val="000000"/>
                <w:szCs w:val="20"/>
                <w:lang w:eastAsia="en-NZ"/>
              </w:rPr>
              <w:t>Lower-Quar</w:t>
            </w:r>
            <w:r w:rsidR="005D568A" w:rsidRPr="00F13B49">
              <w:rPr>
                <w:rFonts w:ascii="Calibri" w:eastAsia="Times New Roman" w:hAnsi="Calibri" w:cs="Calibri"/>
                <w:color w:val="000000"/>
                <w:szCs w:val="20"/>
                <w:lang w:eastAsia="en-NZ"/>
              </w:rPr>
              <w:t>tile</w:t>
            </w:r>
          </w:p>
        </w:tc>
        <w:tc>
          <w:tcPr>
            <w:tcW w:w="926"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1995</w:t>
            </w:r>
          </w:p>
        </w:tc>
        <w:tc>
          <w:tcPr>
            <w:tcW w:w="939"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1998</w:t>
            </w:r>
          </w:p>
        </w:tc>
        <w:tc>
          <w:tcPr>
            <w:tcW w:w="939"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2001</w:t>
            </w:r>
          </w:p>
        </w:tc>
        <w:tc>
          <w:tcPr>
            <w:tcW w:w="1088"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2004</w:t>
            </w:r>
          </w:p>
        </w:tc>
        <w:tc>
          <w:tcPr>
            <w:tcW w:w="1088"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2007</w:t>
            </w:r>
          </w:p>
        </w:tc>
        <w:tc>
          <w:tcPr>
            <w:tcW w:w="1088"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2010</w:t>
            </w:r>
          </w:p>
        </w:tc>
        <w:tc>
          <w:tcPr>
            <w:tcW w:w="755"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Count</w:t>
            </w:r>
          </w:p>
        </w:tc>
        <w:tc>
          <w:tcPr>
            <w:tcW w:w="1196"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%change</w:t>
            </w:r>
          </w:p>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95 - 10</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lastRenderedPageBreak/>
              <w:t>MUL1</w:t>
            </w:r>
          </w:p>
        </w:tc>
        <w:tc>
          <w:tcPr>
            <w:tcW w:w="926"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612,006</w:t>
            </w:r>
          </w:p>
        </w:tc>
        <w:tc>
          <w:tcPr>
            <w:tcW w:w="939"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599,128</w:t>
            </w:r>
          </w:p>
        </w:tc>
        <w:tc>
          <w:tcPr>
            <w:tcW w:w="939"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867,115</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1,193,720</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2,164,494</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2,531,960</w:t>
            </w:r>
          </w:p>
        </w:tc>
        <w:tc>
          <w:tcPr>
            <w:tcW w:w="755"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5,416</w:t>
            </w:r>
          </w:p>
        </w:tc>
        <w:tc>
          <w:tcPr>
            <w:tcW w:w="1196"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314%</w:t>
            </w:r>
          </w:p>
        </w:tc>
      </w:tr>
      <w:tr w:rsidR="005D568A" w:rsidRPr="00F13B49" w:rsidTr="001B432F">
        <w:trPr>
          <w:trHeight w:val="300"/>
        </w:trPr>
        <w:tc>
          <w:tcPr>
            <w:cnfStyle w:val="001000000000" w:firstRow="0" w:lastRow="0" w:firstColumn="1" w:lastColumn="0" w:oddVBand="0" w:evenVBand="0" w:oddHBand="0" w:evenHBand="0" w:firstRowFirstColumn="0" w:firstRowLastColumn="0" w:lastRowFirstColumn="0" w:lastRowLastColumn="0"/>
            <w:tcW w:w="113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MUL2</w:t>
            </w:r>
          </w:p>
        </w:tc>
        <w:tc>
          <w:tcPr>
            <w:tcW w:w="926"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405,205</w:t>
            </w:r>
          </w:p>
        </w:tc>
        <w:tc>
          <w:tcPr>
            <w:tcW w:w="939"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375,952</w:t>
            </w:r>
          </w:p>
        </w:tc>
        <w:tc>
          <w:tcPr>
            <w:tcW w:w="939"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462,086</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765,334</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1,379,914</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1,726,659</w:t>
            </w:r>
          </w:p>
        </w:tc>
        <w:tc>
          <w:tcPr>
            <w:tcW w:w="755"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2,294</w:t>
            </w:r>
          </w:p>
        </w:tc>
        <w:tc>
          <w:tcPr>
            <w:tcW w:w="1196"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326%</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MUL3</w:t>
            </w:r>
          </w:p>
        </w:tc>
        <w:tc>
          <w:tcPr>
            <w:tcW w:w="926"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47,766</w:t>
            </w:r>
          </w:p>
        </w:tc>
        <w:tc>
          <w:tcPr>
            <w:tcW w:w="939"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58,149</w:t>
            </w:r>
          </w:p>
        </w:tc>
        <w:tc>
          <w:tcPr>
            <w:tcW w:w="939"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72,782</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89,907</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144,313</w:t>
            </w:r>
          </w:p>
        </w:tc>
        <w:tc>
          <w:tcPr>
            <w:tcW w:w="1088"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184,590</w:t>
            </w:r>
          </w:p>
        </w:tc>
        <w:tc>
          <w:tcPr>
            <w:tcW w:w="755"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2,22</w:t>
            </w:r>
          </w:p>
        </w:tc>
        <w:tc>
          <w:tcPr>
            <w:tcW w:w="1196"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286%</w:t>
            </w:r>
          </w:p>
        </w:tc>
      </w:tr>
      <w:tr w:rsidR="005D568A" w:rsidRPr="00F13B49" w:rsidTr="001B432F">
        <w:trPr>
          <w:trHeight w:val="300"/>
        </w:trPr>
        <w:tc>
          <w:tcPr>
            <w:cnfStyle w:val="001000000000" w:firstRow="0" w:lastRow="0" w:firstColumn="1" w:lastColumn="0" w:oddVBand="0" w:evenVBand="0" w:oddHBand="0" w:evenHBand="0" w:firstRowFirstColumn="0" w:firstRowLastColumn="0" w:lastRowFirstColumn="0" w:lastRowLastColumn="0"/>
            <w:tcW w:w="113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MUL4</w:t>
            </w:r>
          </w:p>
        </w:tc>
        <w:tc>
          <w:tcPr>
            <w:tcW w:w="926"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24,507</w:t>
            </w:r>
          </w:p>
        </w:tc>
        <w:tc>
          <w:tcPr>
            <w:tcW w:w="939"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30,712</w:t>
            </w:r>
          </w:p>
        </w:tc>
        <w:tc>
          <w:tcPr>
            <w:tcW w:w="939"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38,161</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51,623</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85,604</w:t>
            </w:r>
          </w:p>
        </w:tc>
        <w:tc>
          <w:tcPr>
            <w:tcW w:w="1088"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98,995</w:t>
            </w:r>
          </w:p>
        </w:tc>
        <w:tc>
          <w:tcPr>
            <w:tcW w:w="755"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879</w:t>
            </w:r>
          </w:p>
        </w:tc>
        <w:tc>
          <w:tcPr>
            <w:tcW w:w="1196"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304%</w:t>
            </w:r>
          </w:p>
        </w:tc>
      </w:tr>
    </w:tbl>
    <w:p w:rsidR="005D568A" w:rsidRDefault="005D568A" w:rsidP="005D568A"/>
    <w:p w:rsidR="005D568A" w:rsidRPr="005A4D25" w:rsidRDefault="005D568A" w:rsidP="005D568A">
      <w:pPr>
        <w:rPr>
          <w:sz w:val="22"/>
        </w:rPr>
      </w:pPr>
      <w:r w:rsidRPr="005A4D25">
        <w:rPr>
          <w:sz w:val="22"/>
        </w:rPr>
        <w:t xml:space="preserve">Table 2: Real median land price per </w:t>
      </w:r>
      <w:r w:rsidR="001B432F" w:rsidRPr="005A4D25">
        <w:rPr>
          <w:sz w:val="22"/>
        </w:rPr>
        <w:t>hectare</w:t>
      </w:r>
      <w:r w:rsidRPr="005A4D25">
        <w:rPr>
          <w:sz w:val="22"/>
        </w:rPr>
        <w:t xml:space="preserve"> (based on 1995 price) by MUL</w:t>
      </w:r>
    </w:p>
    <w:tbl>
      <w:tblPr>
        <w:tblStyle w:val="LightShading"/>
        <w:tblW w:w="8640" w:type="dxa"/>
        <w:jc w:val="center"/>
        <w:tblInd w:w="93" w:type="dxa"/>
        <w:tblLook w:val="04A0" w:firstRow="1" w:lastRow="0" w:firstColumn="1" w:lastColumn="0" w:noHBand="0" w:noVBand="1"/>
      </w:tblPr>
      <w:tblGrid>
        <w:gridCol w:w="960"/>
        <w:gridCol w:w="960"/>
        <w:gridCol w:w="1026"/>
        <w:gridCol w:w="1026"/>
        <w:gridCol w:w="1026"/>
        <w:gridCol w:w="1026"/>
        <w:gridCol w:w="1026"/>
        <w:gridCol w:w="960"/>
        <w:gridCol w:w="960"/>
      </w:tblGrid>
      <w:tr w:rsidR="005D568A" w:rsidRPr="00F13B49" w:rsidTr="001B432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Median</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1995</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1998</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2001</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2004</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2007</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2010</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Pr>
                <w:rFonts w:ascii="Calibri" w:eastAsia="Times New Roman" w:hAnsi="Calibri" w:cs="Calibri"/>
                <w:color w:val="000000"/>
                <w:szCs w:val="20"/>
                <w:lang w:eastAsia="en-NZ"/>
              </w:rPr>
              <w:t>Count</w:t>
            </w:r>
          </w:p>
        </w:tc>
        <w:tc>
          <w:tcPr>
            <w:tcW w:w="960" w:type="dxa"/>
            <w:noWrap/>
            <w:hideMark/>
          </w:tcPr>
          <w:p w:rsidR="005D568A"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Pr>
                <w:rFonts w:ascii="Calibri" w:eastAsia="Times New Roman" w:hAnsi="Calibri" w:cs="Calibri"/>
                <w:color w:val="000000"/>
                <w:szCs w:val="20"/>
                <w:lang w:eastAsia="en-NZ"/>
              </w:rPr>
              <w:t>%change</w:t>
            </w:r>
          </w:p>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Pr>
                <w:rFonts w:ascii="Calibri" w:eastAsia="Times New Roman" w:hAnsi="Calibri" w:cs="Calibri"/>
                <w:color w:val="000000"/>
                <w:szCs w:val="20"/>
                <w:lang w:eastAsia="en-NZ"/>
              </w:rPr>
              <w:t>95-10</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MUL1</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956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702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039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128</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461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094</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035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915</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470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675</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534</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351</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416</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269%</w:t>
            </w:r>
          </w:p>
        </w:tc>
      </w:tr>
      <w:tr w:rsidR="005D568A" w:rsidRPr="00F13B49" w:rsidTr="001B432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MUL2</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492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288</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476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459</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637</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069</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965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015</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868</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390</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077</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143</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294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322%</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MUL3</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109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866</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120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873</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169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622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214</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852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370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284</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380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311</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222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246%</w:t>
            </w:r>
          </w:p>
        </w:tc>
      </w:tr>
      <w:tr w:rsidR="005D568A" w:rsidRPr="00F13B49" w:rsidTr="001B432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182</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65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504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624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109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121</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197</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555</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215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803</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879</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314%</w:t>
            </w:r>
          </w:p>
        </w:tc>
      </w:tr>
    </w:tbl>
    <w:p w:rsidR="005D568A" w:rsidRPr="005A4D25" w:rsidRDefault="001B432F" w:rsidP="005D568A">
      <w:pPr>
        <w:rPr>
          <w:sz w:val="22"/>
        </w:rPr>
      </w:pPr>
      <w:r>
        <w:rPr>
          <w:sz w:val="22"/>
        </w:rPr>
        <w:t>Table 3: Real upper-quar</w:t>
      </w:r>
      <w:r w:rsidR="005D568A" w:rsidRPr="005A4D25">
        <w:rPr>
          <w:sz w:val="22"/>
        </w:rPr>
        <w:t>tile land price per hectare (based on 1995 price) by MUL</w:t>
      </w:r>
    </w:p>
    <w:tbl>
      <w:tblPr>
        <w:tblStyle w:val="LightShading"/>
        <w:tblW w:w="8640" w:type="dxa"/>
        <w:jc w:val="center"/>
        <w:tblInd w:w="93" w:type="dxa"/>
        <w:tblLook w:val="04A0" w:firstRow="1" w:lastRow="0" w:firstColumn="1" w:lastColumn="0" w:noHBand="0" w:noVBand="1"/>
      </w:tblPr>
      <w:tblGrid>
        <w:gridCol w:w="960"/>
        <w:gridCol w:w="1026"/>
        <w:gridCol w:w="1026"/>
        <w:gridCol w:w="1026"/>
        <w:gridCol w:w="1026"/>
        <w:gridCol w:w="1026"/>
        <w:gridCol w:w="1026"/>
        <w:gridCol w:w="960"/>
        <w:gridCol w:w="960"/>
      </w:tblGrid>
      <w:tr w:rsidR="005D568A" w:rsidRPr="00F13B49" w:rsidTr="001B432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1B432F" w:rsidP="001B432F">
            <w:pPr>
              <w:jc w:val="center"/>
              <w:rPr>
                <w:rFonts w:ascii="Calibri" w:eastAsia="Times New Roman" w:hAnsi="Calibri" w:cs="Calibri"/>
                <w:color w:val="000000"/>
                <w:szCs w:val="20"/>
                <w:lang w:eastAsia="en-NZ"/>
              </w:rPr>
            </w:pPr>
            <w:r>
              <w:rPr>
                <w:rFonts w:ascii="Calibri" w:eastAsia="Times New Roman" w:hAnsi="Calibri" w:cs="Calibri"/>
                <w:color w:val="000000"/>
                <w:szCs w:val="20"/>
                <w:lang w:eastAsia="en-NZ"/>
              </w:rPr>
              <w:t>Upper-Quar</w:t>
            </w:r>
            <w:r w:rsidR="005D568A" w:rsidRPr="00F13B49">
              <w:rPr>
                <w:rFonts w:ascii="Calibri" w:eastAsia="Times New Roman" w:hAnsi="Calibri" w:cs="Calibri"/>
                <w:color w:val="000000"/>
                <w:szCs w:val="20"/>
                <w:lang w:eastAsia="en-NZ"/>
              </w:rPr>
              <w:t>tile</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1995</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1998</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2001</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2004</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2007</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2010</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Count</w:t>
            </w:r>
          </w:p>
        </w:tc>
        <w:tc>
          <w:tcPr>
            <w:tcW w:w="960" w:type="dxa"/>
            <w:noWrap/>
            <w:hideMark/>
          </w:tcPr>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%change</w:t>
            </w:r>
          </w:p>
          <w:p w:rsidR="005D568A" w:rsidRPr="00F13B49" w:rsidRDefault="005D568A" w:rsidP="001B432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95-10</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MUL1</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520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958</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815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876</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491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920</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615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172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511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004</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392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102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416</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255%</w:t>
            </w:r>
          </w:p>
        </w:tc>
      </w:tr>
      <w:tr w:rsidR="005D568A" w:rsidRPr="00F13B49" w:rsidTr="001B432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MUL2</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689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022</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818</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923</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060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365</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485</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820</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836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567</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896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644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294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320%</w:t>
            </w:r>
          </w:p>
        </w:tc>
      </w:tr>
      <w:tr w:rsidR="005D568A" w:rsidRPr="00F13B49" w:rsidTr="001B432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MUL3</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386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102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412</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105</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578</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933</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780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399</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161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163</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649</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450</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222</w:t>
            </w:r>
          </w:p>
        </w:tc>
        <w:tc>
          <w:tcPr>
            <w:tcW w:w="960" w:type="dxa"/>
            <w:noWrap/>
            <w:hideMark/>
          </w:tcPr>
          <w:p w:rsidR="005D568A" w:rsidRPr="00F13B49" w:rsidRDefault="005D568A" w:rsidP="001B432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327%</w:t>
            </w:r>
          </w:p>
        </w:tc>
      </w:tr>
      <w:tr w:rsidR="005D568A" w:rsidRPr="00F13B49" w:rsidTr="001B432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568A" w:rsidRPr="00F13B49" w:rsidRDefault="005D568A" w:rsidP="001B432F">
            <w:pPr>
              <w:jc w:val="center"/>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MUL4</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234</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466</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270</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333</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326</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978</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563</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465</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064</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863</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1</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183</w:t>
            </w:r>
            <w:r>
              <w:rPr>
                <w:rFonts w:ascii="Calibri" w:eastAsia="Times New Roman" w:hAnsi="Calibri" w:cs="Calibri"/>
                <w:color w:val="000000"/>
                <w:szCs w:val="20"/>
                <w:lang w:eastAsia="en-NZ"/>
              </w:rPr>
              <w:t>,</w:t>
            </w:r>
            <w:r w:rsidRPr="00F13B49">
              <w:rPr>
                <w:rFonts w:ascii="Calibri" w:eastAsia="Times New Roman" w:hAnsi="Calibri" w:cs="Calibri"/>
                <w:color w:val="000000"/>
                <w:szCs w:val="20"/>
                <w:lang w:eastAsia="en-NZ"/>
              </w:rPr>
              <w:t>199</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879</w:t>
            </w:r>
          </w:p>
        </w:tc>
        <w:tc>
          <w:tcPr>
            <w:tcW w:w="960" w:type="dxa"/>
            <w:noWrap/>
            <w:hideMark/>
          </w:tcPr>
          <w:p w:rsidR="005D568A" w:rsidRPr="00F13B49" w:rsidRDefault="005D568A" w:rsidP="001B432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NZ"/>
              </w:rPr>
            </w:pPr>
            <w:r w:rsidRPr="00F13B49">
              <w:rPr>
                <w:rFonts w:ascii="Calibri" w:eastAsia="Times New Roman" w:hAnsi="Calibri" w:cs="Calibri"/>
                <w:color w:val="000000"/>
                <w:szCs w:val="20"/>
                <w:lang w:eastAsia="en-NZ"/>
              </w:rPr>
              <w:t>405%</w:t>
            </w:r>
          </w:p>
        </w:tc>
      </w:tr>
    </w:tbl>
    <w:p w:rsidR="005D568A" w:rsidRDefault="005D568A" w:rsidP="005D568A"/>
    <w:p w:rsidR="005D568A" w:rsidRPr="005A4D25" w:rsidRDefault="005D568A" w:rsidP="005D568A">
      <w:pPr>
        <w:rPr>
          <w:sz w:val="22"/>
        </w:rPr>
      </w:pPr>
      <w:proofErr w:type="gramStart"/>
      <w:r>
        <w:rPr>
          <w:sz w:val="22"/>
        </w:rPr>
        <w:t xml:space="preserve">Figure </w:t>
      </w:r>
      <w:r w:rsidR="00B47BE4">
        <w:rPr>
          <w:sz w:val="22"/>
        </w:rPr>
        <w:t>3</w:t>
      </w:r>
      <w:r>
        <w:rPr>
          <w:sz w:val="22"/>
        </w:rPr>
        <w:t>.</w:t>
      </w:r>
      <w:proofErr w:type="gramEnd"/>
      <w:r>
        <w:rPr>
          <w:sz w:val="22"/>
        </w:rPr>
        <w:t xml:space="preserve"> Relative price difference on MUL, 1995-2010</w:t>
      </w:r>
    </w:p>
    <w:p w:rsidR="005D568A" w:rsidRDefault="005D568A" w:rsidP="005D568A">
      <w:r>
        <w:rPr>
          <w:noProof/>
          <w:lang w:eastAsia="en-NZ"/>
        </w:rPr>
        <w:drawing>
          <wp:inline distT="0" distB="0" distL="0" distR="0" wp14:anchorId="4903409B" wp14:editId="1CD2588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568A" w:rsidRPr="00107305" w:rsidRDefault="005D568A" w:rsidP="005D568A">
      <w:pPr>
        <w:rPr>
          <w:rFonts w:eastAsiaTheme="minorEastAsia"/>
          <w:sz w:val="18"/>
          <w:szCs w:val="18"/>
          <w:lang w:eastAsia="zh-CN"/>
        </w:rPr>
      </w:pPr>
      <w:r w:rsidRPr="00107305">
        <w:rPr>
          <w:rFonts w:eastAsiaTheme="minorEastAsia"/>
          <w:sz w:val="18"/>
          <w:szCs w:val="18"/>
          <w:lang w:eastAsia="zh-CN"/>
        </w:rPr>
        <w:t>N</w:t>
      </w:r>
      <w:r>
        <w:rPr>
          <w:rFonts w:eastAsiaTheme="minorEastAsia" w:hint="eastAsia"/>
          <w:sz w:val="18"/>
          <w:szCs w:val="18"/>
          <w:lang w:eastAsia="zh-CN"/>
        </w:rPr>
        <w:t xml:space="preserve">ote: </w:t>
      </w:r>
      <w:r>
        <w:rPr>
          <w:rFonts w:eastAsiaTheme="minorEastAsia" w:hint="eastAsia"/>
          <w:sz w:val="18"/>
          <w:szCs w:val="18"/>
          <w:lang w:eastAsia="zh-CN"/>
        </w:rPr>
        <w:tab/>
        <w:t xml:space="preserve">MUL1 </w:t>
      </w:r>
      <w:r>
        <w:rPr>
          <w:rFonts w:eastAsiaTheme="minorEastAsia"/>
          <w:sz w:val="18"/>
          <w:szCs w:val="18"/>
          <w:lang w:eastAsia="zh-CN"/>
        </w:rPr>
        <w:t xml:space="preserve">– </w:t>
      </w:r>
      <w:r>
        <w:rPr>
          <w:rFonts w:eastAsiaTheme="minorEastAsia" w:hint="eastAsia"/>
          <w:sz w:val="18"/>
          <w:szCs w:val="18"/>
          <w:lang w:eastAsia="zh-CN"/>
        </w:rPr>
        <w:t>land</w:t>
      </w:r>
      <w:r w:rsidRPr="00107305">
        <w:rPr>
          <w:rFonts w:eastAsiaTheme="minorEastAsia" w:hint="eastAsia"/>
          <w:sz w:val="18"/>
          <w:szCs w:val="18"/>
          <w:lang w:eastAsia="zh-CN"/>
        </w:rPr>
        <w:t xml:space="preserve"> well inside MUL</w:t>
      </w:r>
    </w:p>
    <w:p w:rsidR="005D568A" w:rsidRPr="00107305" w:rsidRDefault="005D568A" w:rsidP="005D568A">
      <w:pPr>
        <w:rPr>
          <w:rFonts w:eastAsiaTheme="minorEastAsia"/>
          <w:sz w:val="18"/>
          <w:szCs w:val="18"/>
          <w:lang w:eastAsia="zh-CN"/>
        </w:rPr>
      </w:pPr>
      <w:r>
        <w:rPr>
          <w:rFonts w:eastAsiaTheme="minorEastAsia" w:hint="eastAsia"/>
          <w:sz w:val="18"/>
          <w:szCs w:val="18"/>
          <w:lang w:eastAsia="zh-CN"/>
        </w:rPr>
        <w:tab/>
        <w:t xml:space="preserve">MUL2 </w:t>
      </w:r>
      <w:r>
        <w:rPr>
          <w:rFonts w:eastAsiaTheme="minorEastAsia"/>
          <w:sz w:val="18"/>
          <w:szCs w:val="18"/>
          <w:lang w:eastAsia="zh-CN"/>
        </w:rPr>
        <w:t>–</w:t>
      </w:r>
      <w:r>
        <w:rPr>
          <w:rFonts w:eastAsiaTheme="minorEastAsia" w:hint="eastAsia"/>
          <w:sz w:val="18"/>
          <w:szCs w:val="18"/>
          <w:lang w:eastAsia="zh-CN"/>
        </w:rPr>
        <w:t xml:space="preserve"> land</w:t>
      </w:r>
      <w:r w:rsidRPr="00107305">
        <w:rPr>
          <w:rFonts w:eastAsiaTheme="minorEastAsia" w:hint="eastAsia"/>
          <w:sz w:val="18"/>
          <w:szCs w:val="18"/>
          <w:lang w:eastAsia="zh-CN"/>
        </w:rPr>
        <w:t xml:space="preserve"> just inside MUL </w:t>
      </w:r>
      <w:r>
        <w:rPr>
          <w:rFonts w:eastAsiaTheme="minorEastAsia"/>
          <w:sz w:val="18"/>
          <w:szCs w:val="18"/>
          <w:lang w:eastAsia="zh-CN"/>
        </w:rPr>
        <w:t>(</w:t>
      </w:r>
      <w:r w:rsidRPr="00107305">
        <w:rPr>
          <w:rFonts w:eastAsiaTheme="minorEastAsia" w:hint="eastAsia"/>
          <w:sz w:val="18"/>
          <w:szCs w:val="18"/>
          <w:lang w:eastAsia="zh-CN"/>
        </w:rPr>
        <w:t>within 2km</w:t>
      </w:r>
      <w:r>
        <w:rPr>
          <w:rFonts w:eastAsiaTheme="minorEastAsia"/>
          <w:sz w:val="18"/>
          <w:szCs w:val="18"/>
          <w:lang w:eastAsia="zh-CN"/>
        </w:rPr>
        <w:t>)</w:t>
      </w:r>
    </w:p>
    <w:p w:rsidR="005D568A" w:rsidRPr="00107305" w:rsidRDefault="005D568A" w:rsidP="005D568A">
      <w:pPr>
        <w:rPr>
          <w:rFonts w:eastAsiaTheme="minorEastAsia"/>
          <w:sz w:val="18"/>
          <w:szCs w:val="18"/>
          <w:lang w:eastAsia="zh-CN"/>
        </w:rPr>
      </w:pPr>
      <w:r>
        <w:rPr>
          <w:rFonts w:eastAsiaTheme="minorEastAsia" w:hint="eastAsia"/>
          <w:sz w:val="18"/>
          <w:szCs w:val="18"/>
          <w:lang w:eastAsia="zh-CN"/>
        </w:rPr>
        <w:tab/>
        <w:t xml:space="preserve">MUL3 </w:t>
      </w:r>
      <w:r>
        <w:rPr>
          <w:rFonts w:eastAsiaTheme="minorEastAsia"/>
          <w:sz w:val="18"/>
          <w:szCs w:val="18"/>
          <w:lang w:eastAsia="zh-CN"/>
        </w:rPr>
        <w:t>–</w:t>
      </w:r>
      <w:r>
        <w:rPr>
          <w:rFonts w:eastAsiaTheme="minorEastAsia" w:hint="eastAsia"/>
          <w:sz w:val="18"/>
          <w:szCs w:val="18"/>
          <w:lang w:eastAsia="zh-CN"/>
        </w:rPr>
        <w:t xml:space="preserve"> land</w:t>
      </w:r>
      <w:r w:rsidRPr="00107305">
        <w:rPr>
          <w:rFonts w:eastAsiaTheme="minorEastAsia" w:hint="eastAsia"/>
          <w:sz w:val="18"/>
          <w:szCs w:val="18"/>
          <w:lang w:eastAsia="zh-CN"/>
        </w:rPr>
        <w:t xml:space="preserve"> just outside MUL </w:t>
      </w:r>
      <w:r>
        <w:rPr>
          <w:rFonts w:eastAsiaTheme="minorEastAsia"/>
          <w:sz w:val="18"/>
          <w:szCs w:val="18"/>
          <w:lang w:eastAsia="zh-CN"/>
        </w:rPr>
        <w:t>(</w:t>
      </w:r>
      <w:r w:rsidRPr="00107305">
        <w:rPr>
          <w:rFonts w:eastAsiaTheme="minorEastAsia" w:hint="eastAsia"/>
          <w:sz w:val="18"/>
          <w:szCs w:val="18"/>
          <w:lang w:eastAsia="zh-CN"/>
        </w:rPr>
        <w:t>within 2km</w:t>
      </w:r>
      <w:r>
        <w:rPr>
          <w:rFonts w:eastAsiaTheme="minorEastAsia"/>
          <w:sz w:val="18"/>
          <w:szCs w:val="18"/>
          <w:lang w:eastAsia="zh-CN"/>
        </w:rPr>
        <w:t>)</w:t>
      </w:r>
    </w:p>
    <w:p w:rsidR="005D568A" w:rsidRPr="00107305" w:rsidRDefault="005D568A" w:rsidP="005D568A">
      <w:pPr>
        <w:rPr>
          <w:rFonts w:eastAsiaTheme="minorEastAsia"/>
          <w:sz w:val="18"/>
          <w:szCs w:val="18"/>
          <w:lang w:eastAsia="zh-CN"/>
        </w:rPr>
      </w:pPr>
      <w:r>
        <w:rPr>
          <w:rFonts w:eastAsiaTheme="minorEastAsia" w:hint="eastAsia"/>
          <w:sz w:val="18"/>
          <w:szCs w:val="18"/>
          <w:lang w:eastAsia="zh-CN"/>
        </w:rPr>
        <w:tab/>
        <w:t xml:space="preserve">MUL4 </w:t>
      </w:r>
      <w:r>
        <w:rPr>
          <w:rFonts w:eastAsiaTheme="minorEastAsia"/>
          <w:sz w:val="18"/>
          <w:szCs w:val="18"/>
          <w:lang w:eastAsia="zh-CN"/>
        </w:rPr>
        <w:t>–</w:t>
      </w:r>
      <w:r>
        <w:rPr>
          <w:rFonts w:eastAsiaTheme="minorEastAsia" w:hint="eastAsia"/>
          <w:sz w:val="18"/>
          <w:szCs w:val="18"/>
          <w:lang w:eastAsia="zh-CN"/>
        </w:rPr>
        <w:t xml:space="preserve"> land</w:t>
      </w:r>
      <w:r w:rsidRPr="00107305">
        <w:rPr>
          <w:rFonts w:eastAsiaTheme="minorEastAsia" w:hint="eastAsia"/>
          <w:sz w:val="18"/>
          <w:szCs w:val="18"/>
          <w:lang w:eastAsia="zh-CN"/>
        </w:rPr>
        <w:t xml:space="preserve"> 2km outside MUL</w:t>
      </w:r>
    </w:p>
    <w:p w:rsidR="005D568A" w:rsidRDefault="005D568A" w:rsidP="005D568A">
      <w:pPr>
        <w:rPr>
          <w:sz w:val="22"/>
        </w:rPr>
      </w:pPr>
    </w:p>
    <w:p w:rsidR="005D568A" w:rsidRDefault="005D568A" w:rsidP="005D568A">
      <w:pPr>
        <w:rPr>
          <w:b/>
          <w:sz w:val="28"/>
          <w:szCs w:val="28"/>
        </w:rPr>
      </w:pPr>
      <w:r w:rsidRPr="000E48D8">
        <w:rPr>
          <w:b/>
          <w:sz w:val="28"/>
          <w:szCs w:val="28"/>
        </w:rPr>
        <w:t>Results</w:t>
      </w:r>
    </w:p>
    <w:p w:rsidR="005D568A" w:rsidRDefault="005D568A" w:rsidP="005D568A">
      <w:pPr>
        <w:rPr>
          <w:sz w:val="22"/>
        </w:rPr>
      </w:pPr>
      <w:r>
        <w:rPr>
          <w:sz w:val="22"/>
        </w:rPr>
        <w:t xml:space="preserve">This section details regression results </w:t>
      </w:r>
      <w:r>
        <w:rPr>
          <w:rFonts w:eastAsiaTheme="minorEastAsia" w:hint="eastAsia"/>
          <w:sz w:val="22"/>
          <w:lang w:eastAsia="zh-CN"/>
        </w:rPr>
        <w:t xml:space="preserve">(OLS and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regressions) </w:t>
      </w:r>
      <w:r>
        <w:rPr>
          <w:sz w:val="22"/>
        </w:rPr>
        <w:t xml:space="preserve">on </w:t>
      </w:r>
      <w:r w:rsidR="00F874B7">
        <w:rPr>
          <w:sz w:val="22"/>
        </w:rPr>
        <w:t xml:space="preserve">the effects of the MUL boundary </w:t>
      </w:r>
      <w:r>
        <w:rPr>
          <w:sz w:val="22"/>
        </w:rPr>
        <w:t>on real land p</w:t>
      </w:r>
      <w:r w:rsidR="00F874B7">
        <w:rPr>
          <w:sz w:val="22"/>
        </w:rPr>
        <w:t>rices from</w:t>
      </w:r>
      <w:r>
        <w:rPr>
          <w:sz w:val="22"/>
        </w:rPr>
        <w:t xml:space="preserve"> 1995-2010. Some detailed regression estimates are presented in appendix 2.</w:t>
      </w:r>
    </w:p>
    <w:p w:rsidR="005D568A" w:rsidRDefault="005D568A" w:rsidP="005D568A">
      <w:pPr>
        <w:rPr>
          <w:sz w:val="22"/>
        </w:rPr>
      </w:pPr>
    </w:p>
    <w:p w:rsidR="005D568A" w:rsidRDefault="005D568A" w:rsidP="005D568A">
      <w:pPr>
        <w:rPr>
          <w:sz w:val="22"/>
        </w:rPr>
      </w:pPr>
      <w:r>
        <w:rPr>
          <w:sz w:val="22"/>
        </w:rPr>
        <w:t xml:space="preserve">The results suggest that spatial correlation is statistically significant. The </w:t>
      </w:r>
      <w:proofErr w:type="gramStart"/>
      <w:r>
        <w:rPr>
          <w:sz w:val="22"/>
        </w:rPr>
        <w:t>presence of spatial correlation may either bias coefficient estimates or make</w:t>
      </w:r>
      <w:proofErr w:type="gramEnd"/>
      <w:r>
        <w:rPr>
          <w:sz w:val="22"/>
        </w:rPr>
        <w:t xml:space="preserve"> inefficien</w:t>
      </w:r>
      <w:r w:rsidR="00347762">
        <w:rPr>
          <w:sz w:val="22"/>
        </w:rPr>
        <w:t>t estimates (</w:t>
      </w:r>
      <w:proofErr w:type="spellStart"/>
      <w:r w:rsidR="00347762">
        <w:rPr>
          <w:sz w:val="22"/>
        </w:rPr>
        <w:t>Anselin</w:t>
      </w:r>
      <w:proofErr w:type="spellEnd"/>
      <w:r w:rsidR="00347762">
        <w:rPr>
          <w:sz w:val="22"/>
        </w:rPr>
        <w:t>, 1988). B</w:t>
      </w:r>
      <w:r>
        <w:rPr>
          <w:sz w:val="22"/>
        </w:rPr>
        <w:t xml:space="preserve">ootstrapping was undertaken </w:t>
      </w:r>
      <w:r w:rsidR="00F874B7">
        <w:rPr>
          <w:sz w:val="22"/>
        </w:rPr>
        <w:t xml:space="preserve">on both OLS and </w:t>
      </w:r>
      <w:proofErr w:type="spellStart"/>
      <w:r w:rsidR="00F874B7">
        <w:rPr>
          <w:sz w:val="22"/>
        </w:rPr>
        <w:t>quantile</w:t>
      </w:r>
      <w:proofErr w:type="spellEnd"/>
      <w:r w:rsidR="00F874B7">
        <w:rPr>
          <w:sz w:val="22"/>
        </w:rPr>
        <w:t xml:space="preserve"> </w:t>
      </w:r>
      <w:r>
        <w:rPr>
          <w:sz w:val="22"/>
        </w:rPr>
        <w:t xml:space="preserve">regressions suggesting the </w:t>
      </w:r>
      <w:r>
        <w:rPr>
          <w:sz w:val="22"/>
        </w:rPr>
        <w:lastRenderedPageBreak/>
        <w:t>latter problem</w:t>
      </w:r>
      <w:r w:rsidR="00347762">
        <w:rPr>
          <w:sz w:val="22"/>
        </w:rPr>
        <w:t xml:space="preserve"> i.e. </w:t>
      </w:r>
      <w:r>
        <w:rPr>
          <w:sz w:val="22"/>
        </w:rPr>
        <w:t>coefficient estimates remain unbiased, but are less efficient on standard errors</w:t>
      </w:r>
      <w:r w:rsidR="00347762">
        <w:rPr>
          <w:sz w:val="22"/>
        </w:rPr>
        <w:t xml:space="preserve"> (Appendix 3)</w:t>
      </w:r>
      <w:r>
        <w:rPr>
          <w:sz w:val="22"/>
        </w:rPr>
        <w:t xml:space="preserve">.  </w:t>
      </w:r>
    </w:p>
    <w:p w:rsidR="005D568A" w:rsidRDefault="005D568A" w:rsidP="005D568A">
      <w:pPr>
        <w:rPr>
          <w:sz w:val="22"/>
        </w:rPr>
      </w:pPr>
    </w:p>
    <w:p w:rsidR="005D568A" w:rsidRDefault="005D568A" w:rsidP="005D568A">
      <w:pPr>
        <w:rPr>
          <w:sz w:val="22"/>
        </w:rPr>
      </w:pPr>
      <w:r>
        <w:rPr>
          <w:sz w:val="22"/>
        </w:rPr>
        <w:t>The impact of the MUL is assessed by comparing the value of land situated just inside the MUL relative to land situated just outside the MUL, as measured by the difference</w:t>
      </w:r>
      <w:r>
        <w:rPr>
          <w:rStyle w:val="FootnoteReference"/>
          <w:sz w:val="22"/>
        </w:rPr>
        <w:footnoteReference w:id="10"/>
      </w:r>
      <w:r>
        <w:rPr>
          <w:sz w:val="22"/>
        </w:rPr>
        <w:t xml:space="preserve"> between the coefficient on MUL2 and MUL3.</w:t>
      </w:r>
      <w:r>
        <w:rPr>
          <w:rFonts w:eastAsiaTheme="minorEastAsia" w:hint="eastAsia"/>
          <w:sz w:val="22"/>
          <w:lang w:eastAsia="zh-CN"/>
        </w:rPr>
        <w:t xml:space="preserve"> Both OLS and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 show similar impact of MUL on mean and median</w:t>
      </w:r>
      <w:r w:rsidR="00B47BE4">
        <w:rPr>
          <w:rFonts w:eastAsiaTheme="minorEastAsia" w:hint="eastAsia"/>
          <w:sz w:val="22"/>
          <w:lang w:eastAsia="zh-CN"/>
        </w:rPr>
        <w:t xml:space="preserve">, around 5-6 times (see figure </w:t>
      </w:r>
      <w:r w:rsidR="00B47BE4">
        <w:rPr>
          <w:rFonts w:eastAsiaTheme="minorEastAsia"/>
          <w:sz w:val="22"/>
          <w:lang w:eastAsia="zh-CN"/>
        </w:rPr>
        <w:t>4</w:t>
      </w:r>
      <w:r w:rsidR="00B47BE4">
        <w:rPr>
          <w:rFonts w:eastAsiaTheme="minorEastAsia" w:hint="eastAsia"/>
          <w:sz w:val="22"/>
          <w:lang w:eastAsia="zh-CN"/>
        </w:rPr>
        <w:t xml:space="preserve"> and </w:t>
      </w:r>
      <w:r w:rsidR="00B47BE4">
        <w:rPr>
          <w:rFonts w:eastAsiaTheme="minorEastAsia"/>
          <w:sz w:val="22"/>
          <w:lang w:eastAsia="zh-CN"/>
        </w:rPr>
        <w:t>5</w:t>
      </w:r>
      <w:r>
        <w:rPr>
          <w:rFonts w:eastAsiaTheme="minorEastAsia" w:hint="eastAsia"/>
          <w:sz w:val="22"/>
          <w:lang w:eastAsia="zh-CN"/>
        </w:rPr>
        <w:t xml:space="preserve">). </w:t>
      </w:r>
      <w:r w:rsidR="00B47BE4" w:rsidRPr="00B47BE4">
        <w:rPr>
          <w:rFonts w:eastAsiaTheme="minorEastAsia" w:hint="eastAsia"/>
          <w:sz w:val="22"/>
          <w:lang w:eastAsia="zh-CN"/>
        </w:rPr>
        <w:t xml:space="preserve">Figure </w:t>
      </w:r>
      <w:r w:rsidR="00B47BE4">
        <w:rPr>
          <w:rFonts w:eastAsiaTheme="minorEastAsia"/>
          <w:sz w:val="22"/>
          <w:lang w:eastAsia="zh-CN"/>
        </w:rPr>
        <w:t>5</w:t>
      </w:r>
      <w:r>
        <w:rPr>
          <w:rFonts w:eastAsiaTheme="minorEastAsia" w:hint="eastAsia"/>
          <w:sz w:val="22"/>
          <w:lang w:eastAsia="zh-CN"/>
        </w:rPr>
        <w:t xml:space="preserve"> also reveal</w:t>
      </w:r>
      <w:r>
        <w:rPr>
          <w:rFonts w:eastAsiaTheme="minorEastAsia"/>
          <w:sz w:val="22"/>
          <w:lang w:eastAsia="zh-CN"/>
        </w:rPr>
        <w:t>s</w:t>
      </w:r>
      <w:r>
        <w:rPr>
          <w:sz w:val="22"/>
        </w:rPr>
        <w:t xml:space="preserve"> the impact of the MUL is uneven with land in lower </w:t>
      </w:r>
      <w:proofErr w:type="spellStart"/>
      <w:r>
        <w:rPr>
          <w:sz w:val="22"/>
        </w:rPr>
        <w:t>decile</w:t>
      </w:r>
      <w:proofErr w:type="spellEnd"/>
      <w:r>
        <w:rPr>
          <w:sz w:val="22"/>
        </w:rPr>
        <w:t xml:space="preserve"> range experiencing the highest impact. On average, the price difference </w:t>
      </w:r>
      <w:r w:rsidR="006270AA">
        <w:rPr>
          <w:sz w:val="22"/>
        </w:rPr>
        <w:t xml:space="preserve">in the lowest </w:t>
      </w:r>
      <w:proofErr w:type="spellStart"/>
      <w:r w:rsidR="006270AA">
        <w:rPr>
          <w:sz w:val="22"/>
        </w:rPr>
        <w:t>decile</w:t>
      </w:r>
      <w:proofErr w:type="spellEnd"/>
      <w:r w:rsidR="006270AA">
        <w:rPr>
          <w:sz w:val="22"/>
        </w:rPr>
        <w:t xml:space="preserve"> is around 10</w:t>
      </w:r>
      <w:r>
        <w:rPr>
          <w:sz w:val="22"/>
        </w:rPr>
        <w:t xml:space="preserve"> which </w:t>
      </w:r>
      <w:proofErr w:type="gramStart"/>
      <w:r>
        <w:rPr>
          <w:sz w:val="22"/>
        </w:rPr>
        <w:t>is</w:t>
      </w:r>
      <w:proofErr w:type="gramEnd"/>
      <w:r>
        <w:rPr>
          <w:sz w:val="22"/>
        </w:rPr>
        <w:t xml:space="preserve"> 1.8 and 6.9 times greater than for land in the median and highest </w:t>
      </w:r>
      <w:proofErr w:type="spellStart"/>
      <w:r>
        <w:rPr>
          <w:sz w:val="22"/>
        </w:rPr>
        <w:t>deciles</w:t>
      </w:r>
      <w:proofErr w:type="spellEnd"/>
      <w:r>
        <w:rPr>
          <w:sz w:val="22"/>
        </w:rPr>
        <w:t xml:space="preserve">.  </w:t>
      </w:r>
    </w:p>
    <w:p w:rsidR="005D568A" w:rsidRDefault="005D568A" w:rsidP="005D568A">
      <w:pPr>
        <w:rPr>
          <w:sz w:val="22"/>
        </w:rPr>
      </w:pPr>
    </w:p>
    <w:p w:rsidR="005D568A" w:rsidRDefault="005D568A" w:rsidP="005D568A">
      <w:pPr>
        <w:rPr>
          <w:sz w:val="22"/>
        </w:rPr>
      </w:pPr>
      <w:r>
        <w:rPr>
          <w:sz w:val="22"/>
        </w:rPr>
        <w:t>Over the time peri</w:t>
      </w:r>
      <w:r w:rsidR="00F874B7">
        <w:rPr>
          <w:sz w:val="22"/>
        </w:rPr>
        <w:t>o</w:t>
      </w:r>
      <w:r>
        <w:rPr>
          <w:sz w:val="22"/>
        </w:rPr>
        <w:t xml:space="preserve">d, the impact of the MUL on the lowest </w:t>
      </w:r>
      <w:proofErr w:type="spellStart"/>
      <w:r>
        <w:rPr>
          <w:sz w:val="22"/>
        </w:rPr>
        <w:t>decile</w:t>
      </w:r>
      <w:proofErr w:type="spellEnd"/>
      <w:r>
        <w:rPr>
          <w:sz w:val="22"/>
        </w:rPr>
        <w:t xml:space="preserve"> land and median land increased. In 1995, the impact on the lowest </w:t>
      </w:r>
      <w:proofErr w:type="spellStart"/>
      <w:r>
        <w:rPr>
          <w:sz w:val="22"/>
        </w:rPr>
        <w:t>decile</w:t>
      </w:r>
      <w:proofErr w:type="spellEnd"/>
      <w:r>
        <w:rPr>
          <w:sz w:val="22"/>
        </w:rPr>
        <w:t xml:space="preserve"> and median were 8.1 and 4.3 respectively. In 2010, both increased to 9.7 and 5.6, up 20% and 30%. Conversely, the impact on the highest </w:t>
      </w:r>
      <w:proofErr w:type="spellStart"/>
      <w:r>
        <w:rPr>
          <w:sz w:val="22"/>
        </w:rPr>
        <w:t>decile</w:t>
      </w:r>
      <w:proofErr w:type="spellEnd"/>
      <w:r>
        <w:rPr>
          <w:sz w:val="22"/>
        </w:rPr>
        <w:t xml:space="preserve"> remained relatively flat, just 1.3. This indicates that most of the binding constraint from the MUL falls on the lowest to median valued land. Consequently, price gaps between less and more expensive land have </w:t>
      </w:r>
      <w:r w:rsidRPr="00B47BE4">
        <w:rPr>
          <w:sz w:val="22"/>
        </w:rPr>
        <w:t xml:space="preserve">widened </w:t>
      </w:r>
      <w:r w:rsidR="00347762" w:rsidRPr="00B47BE4">
        <w:rPr>
          <w:sz w:val="22"/>
        </w:rPr>
        <w:t>(F</w:t>
      </w:r>
      <w:r w:rsidR="000A0351">
        <w:rPr>
          <w:sz w:val="22"/>
        </w:rPr>
        <w:t>igure 6</w:t>
      </w:r>
      <w:r w:rsidRPr="00B47BE4">
        <w:rPr>
          <w:sz w:val="22"/>
        </w:rPr>
        <w:t>).</w:t>
      </w:r>
    </w:p>
    <w:p w:rsidR="005D568A" w:rsidRDefault="005D568A" w:rsidP="005D568A">
      <w:pPr>
        <w:rPr>
          <w:sz w:val="22"/>
        </w:rPr>
      </w:pPr>
    </w:p>
    <w:p w:rsidR="005D568A" w:rsidRDefault="00B47BE4" w:rsidP="005D568A">
      <w:pPr>
        <w:spacing w:after="200" w:line="276" w:lineRule="auto"/>
        <w:rPr>
          <w:sz w:val="22"/>
        </w:rPr>
      </w:pPr>
      <w:proofErr w:type="gramStart"/>
      <w:r>
        <w:rPr>
          <w:sz w:val="22"/>
        </w:rPr>
        <w:t>Figure 4</w:t>
      </w:r>
      <w:r w:rsidR="005D568A">
        <w:rPr>
          <w:sz w:val="22"/>
        </w:rPr>
        <w:t>.</w:t>
      </w:r>
      <w:proofErr w:type="gramEnd"/>
      <w:r w:rsidR="005D568A">
        <w:rPr>
          <w:sz w:val="22"/>
        </w:rPr>
        <w:t xml:space="preserve"> Relative price differences between MUL2 and MUL3 from </w:t>
      </w:r>
      <w:r w:rsidR="005D568A">
        <w:rPr>
          <w:rFonts w:eastAsiaTheme="minorEastAsia" w:hint="eastAsia"/>
          <w:sz w:val="22"/>
          <w:lang w:eastAsia="zh-CN"/>
        </w:rPr>
        <w:t>OLS</w:t>
      </w:r>
      <w:r w:rsidR="005D568A">
        <w:rPr>
          <w:sz w:val="22"/>
        </w:rPr>
        <w:t xml:space="preserve"> regressions</w:t>
      </w:r>
    </w:p>
    <w:p w:rsidR="005D568A" w:rsidRPr="00F075BB" w:rsidRDefault="005D568A" w:rsidP="005D568A">
      <w:pPr>
        <w:rPr>
          <w:sz w:val="22"/>
        </w:rPr>
      </w:pPr>
      <w:r>
        <w:rPr>
          <w:noProof/>
          <w:sz w:val="22"/>
          <w:lang w:eastAsia="en-NZ"/>
        </w:rPr>
        <w:drawing>
          <wp:inline distT="0" distB="0" distL="0" distR="0" wp14:anchorId="37D04092" wp14:editId="4B49EFDD">
            <wp:extent cx="4362450" cy="2447925"/>
            <wp:effectExtent l="19050" t="0" r="0" b="0"/>
            <wp:docPr id="10" name="图片 9" descr="REG_CO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_COEF.bmp"/>
                    <pic:cNvPicPr/>
                  </pic:nvPicPr>
                  <pic:blipFill>
                    <a:blip r:embed="rId13" cstate="print"/>
                    <a:srcRect t="15625" r="4583" b="4063"/>
                    <a:stretch>
                      <a:fillRect/>
                    </a:stretch>
                  </pic:blipFill>
                  <pic:spPr>
                    <a:xfrm>
                      <a:off x="0" y="0"/>
                      <a:ext cx="4362450" cy="2447925"/>
                    </a:xfrm>
                    <a:prstGeom prst="rect">
                      <a:avLst/>
                    </a:prstGeom>
                  </pic:spPr>
                </pic:pic>
              </a:graphicData>
            </a:graphic>
          </wp:inline>
        </w:drawing>
      </w:r>
    </w:p>
    <w:p w:rsidR="005D568A" w:rsidRPr="00F8248D" w:rsidRDefault="005D568A" w:rsidP="005D568A">
      <w:pPr>
        <w:spacing w:after="200" w:line="276" w:lineRule="auto"/>
        <w:rPr>
          <w:rFonts w:eastAsiaTheme="minorEastAsia"/>
          <w:sz w:val="22"/>
          <w:lang w:eastAsia="zh-CN"/>
        </w:rPr>
      </w:pPr>
    </w:p>
    <w:p w:rsidR="005D568A" w:rsidRDefault="005D568A" w:rsidP="005D568A">
      <w:pPr>
        <w:spacing w:after="200" w:line="276" w:lineRule="auto"/>
        <w:rPr>
          <w:sz w:val="22"/>
        </w:rPr>
      </w:pPr>
      <w:proofErr w:type="gramStart"/>
      <w:r>
        <w:rPr>
          <w:sz w:val="22"/>
        </w:rPr>
        <w:t xml:space="preserve">Figure </w:t>
      </w:r>
      <w:r w:rsidR="00B47BE4">
        <w:rPr>
          <w:sz w:val="22"/>
        </w:rPr>
        <w:t>5</w:t>
      </w:r>
      <w:r>
        <w:rPr>
          <w:sz w:val="22"/>
        </w:rPr>
        <w:t>.</w:t>
      </w:r>
      <w:proofErr w:type="gramEnd"/>
      <w:r>
        <w:rPr>
          <w:sz w:val="22"/>
        </w:rPr>
        <w:t xml:space="preserve"> Relative price differences between MUL2 and MUL3 from </w:t>
      </w:r>
      <w:proofErr w:type="spellStart"/>
      <w:r>
        <w:rPr>
          <w:sz w:val="22"/>
        </w:rPr>
        <w:t>quantile</w:t>
      </w:r>
      <w:proofErr w:type="spellEnd"/>
      <w:r>
        <w:rPr>
          <w:sz w:val="22"/>
        </w:rPr>
        <w:t xml:space="preserve"> regressions</w:t>
      </w:r>
    </w:p>
    <w:p w:rsidR="005D568A" w:rsidRDefault="005D568A" w:rsidP="005D568A">
      <w:pPr>
        <w:rPr>
          <w:sz w:val="22"/>
        </w:rPr>
      </w:pPr>
      <w:r>
        <w:rPr>
          <w:noProof/>
          <w:sz w:val="22"/>
          <w:lang w:eastAsia="en-NZ"/>
        </w:rPr>
        <w:lastRenderedPageBreak/>
        <w:drawing>
          <wp:inline distT="0" distB="0" distL="0" distR="0" wp14:anchorId="71F4BBE3" wp14:editId="54D8DBD7">
            <wp:extent cx="438150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23_effect.bmp"/>
                    <pic:cNvPicPr/>
                  </pic:nvPicPr>
                  <pic:blipFill rotWithShape="1">
                    <a:blip r:embed="rId14" cstate="print">
                      <a:extLst>
                        <a:ext uri="{28A0092B-C50C-407E-A947-70E740481C1C}">
                          <a14:useLocalDpi xmlns:a14="http://schemas.microsoft.com/office/drawing/2010/main" val="0"/>
                        </a:ext>
                      </a:extLst>
                    </a:blip>
                    <a:srcRect t="15938" r="4167"/>
                    <a:stretch/>
                  </pic:blipFill>
                  <pic:spPr bwMode="auto">
                    <a:xfrm>
                      <a:off x="0" y="0"/>
                      <a:ext cx="4381500" cy="2562225"/>
                    </a:xfrm>
                    <a:prstGeom prst="rect">
                      <a:avLst/>
                    </a:prstGeom>
                    <a:ln>
                      <a:noFill/>
                    </a:ln>
                    <a:extLst>
                      <a:ext uri="{53640926-AAD7-44D8-BBD7-CCE9431645EC}">
                        <a14:shadowObscured xmlns:a14="http://schemas.microsoft.com/office/drawing/2010/main"/>
                      </a:ext>
                    </a:extLst>
                  </pic:spPr>
                </pic:pic>
              </a:graphicData>
            </a:graphic>
          </wp:inline>
        </w:drawing>
      </w:r>
    </w:p>
    <w:p w:rsidR="005D568A" w:rsidRDefault="005D568A" w:rsidP="005D568A">
      <w:pPr>
        <w:rPr>
          <w:sz w:val="22"/>
        </w:rPr>
      </w:pPr>
    </w:p>
    <w:p w:rsidR="005D568A" w:rsidRDefault="00B47BE4" w:rsidP="005D568A">
      <w:pPr>
        <w:spacing w:after="200" w:line="276" w:lineRule="auto"/>
        <w:rPr>
          <w:sz w:val="22"/>
        </w:rPr>
      </w:pPr>
      <w:proofErr w:type="gramStart"/>
      <w:r>
        <w:rPr>
          <w:sz w:val="22"/>
        </w:rPr>
        <w:t>Figure 6</w:t>
      </w:r>
      <w:r w:rsidR="005D568A">
        <w:rPr>
          <w:sz w:val="22"/>
        </w:rPr>
        <w:t>.</w:t>
      </w:r>
      <w:proofErr w:type="gramEnd"/>
      <w:r w:rsidR="005D568A">
        <w:rPr>
          <w:sz w:val="22"/>
        </w:rPr>
        <w:t xml:space="preserve"> </w:t>
      </w:r>
      <w:r w:rsidR="006270AA">
        <w:rPr>
          <w:sz w:val="22"/>
        </w:rPr>
        <w:t>Growth</w:t>
      </w:r>
      <w:r w:rsidR="005D568A">
        <w:rPr>
          <w:sz w:val="22"/>
        </w:rPr>
        <w:t xml:space="preserve"> gaps from </w:t>
      </w:r>
      <w:proofErr w:type="spellStart"/>
      <w:r w:rsidR="005D568A">
        <w:rPr>
          <w:sz w:val="22"/>
        </w:rPr>
        <w:t>quantile</w:t>
      </w:r>
      <w:proofErr w:type="spellEnd"/>
      <w:r w:rsidR="005D568A">
        <w:rPr>
          <w:sz w:val="22"/>
        </w:rPr>
        <w:t xml:space="preserve"> regressions</w:t>
      </w:r>
      <w:r w:rsidR="005D568A">
        <w:rPr>
          <w:sz w:val="22"/>
        </w:rPr>
        <w:br/>
      </w:r>
      <w:r w:rsidR="005D568A">
        <w:rPr>
          <w:noProof/>
          <w:sz w:val="22"/>
          <w:lang w:eastAsia="en-NZ"/>
        </w:rPr>
        <w:drawing>
          <wp:inline distT="0" distB="0" distL="0" distR="0" wp14:anchorId="2C335F5A" wp14:editId="49DDD32A">
            <wp:extent cx="4314825" cy="2524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_MUL23.bmp"/>
                    <pic:cNvPicPr/>
                  </pic:nvPicPr>
                  <pic:blipFill rotWithShape="1">
                    <a:blip r:embed="rId15" cstate="print">
                      <a:extLst>
                        <a:ext uri="{28A0092B-C50C-407E-A947-70E740481C1C}">
                          <a14:useLocalDpi xmlns:a14="http://schemas.microsoft.com/office/drawing/2010/main" val="0"/>
                        </a:ext>
                      </a:extLst>
                    </a:blip>
                    <a:srcRect t="17187" r="5625"/>
                    <a:stretch/>
                  </pic:blipFill>
                  <pic:spPr bwMode="auto">
                    <a:xfrm>
                      <a:off x="0" y="0"/>
                      <a:ext cx="4314825" cy="2524125"/>
                    </a:xfrm>
                    <a:prstGeom prst="rect">
                      <a:avLst/>
                    </a:prstGeom>
                    <a:ln>
                      <a:noFill/>
                    </a:ln>
                    <a:extLst>
                      <a:ext uri="{53640926-AAD7-44D8-BBD7-CCE9431645EC}">
                        <a14:shadowObscured xmlns:a14="http://schemas.microsoft.com/office/drawing/2010/main"/>
                      </a:ext>
                    </a:extLst>
                  </pic:spPr>
                </pic:pic>
              </a:graphicData>
            </a:graphic>
          </wp:inline>
        </w:drawing>
      </w:r>
    </w:p>
    <w:p w:rsidR="005D568A" w:rsidRDefault="005D568A" w:rsidP="005D568A">
      <w:pPr>
        <w:rPr>
          <w:sz w:val="22"/>
        </w:rPr>
      </w:pPr>
      <w:r>
        <w:rPr>
          <w:sz w:val="22"/>
        </w:rPr>
        <w:t>For land situated in urban and rural areas</w:t>
      </w:r>
      <w:r>
        <w:rPr>
          <w:rStyle w:val="FootnoteReference"/>
          <w:sz w:val="22"/>
        </w:rPr>
        <w:footnoteReference w:id="11"/>
      </w:r>
      <w:r>
        <w:rPr>
          <w:sz w:val="22"/>
        </w:rPr>
        <w:t xml:space="preserve">, price differences are relative minor and stable through the period (figure 6 and figure 7). Particularly in urban areas, price differences are around 1. This implies that urban and rural land prices grow at similar rates and the MUL does not intensify price pressures onto inner urban and remote rural areas.  </w:t>
      </w:r>
    </w:p>
    <w:p w:rsidR="005D568A" w:rsidRDefault="005D568A" w:rsidP="005D568A">
      <w:pPr>
        <w:rPr>
          <w:sz w:val="22"/>
        </w:rPr>
      </w:pPr>
    </w:p>
    <w:p w:rsidR="005D568A" w:rsidRDefault="00B47BE4" w:rsidP="005D568A">
      <w:pPr>
        <w:spacing w:after="200" w:line="276" w:lineRule="auto"/>
        <w:rPr>
          <w:sz w:val="22"/>
        </w:rPr>
      </w:pPr>
      <w:proofErr w:type="gramStart"/>
      <w:r>
        <w:rPr>
          <w:sz w:val="22"/>
        </w:rPr>
        <w:t>Figure 7</w:t>
      </w:r>
      <w:r w:rsidR="005D568A">
        <w:rPr>
          <w:sz w:val="22"/>
        </w:rPr>
        <w:t>.</w:t>
      </w:r>
      <w:proofErr w:type="gramEnd"/>
      <w:r w:rsidR="005D568A">
        <w:rPr>
          <w:sz w:val="22"/>
        </w:rPr>
        <w:t xml:space="preserve"> Relative price differences between MUL1 and MUL2 </w:t>
      </w:r>
    </w:p>
    <w:p w:rsidR="005D568A" w:rsidRDefault="005D568A" w:rsidP="005D568A">
      <w:pPr>
        <w:rPr>
          <w:noProof/>
          <w:lang w:eastAsia="en-NZ"/>
        </w:rPr>
      </w:pPr>
      <w:r>
        <w:rPr>
          <w:noProof/>
          <w:lang w:eastAsia="en-NZ"/>
        </w:rPr>
        <w:lastRenderedPageBreak/>
        <w:t xml:space="preserve"> </w:t>
      </w:r>
      <w:r>
        <w:rPr>
          <w:noProof/>
          <w:lang w:eastAsia="en-NZ"/>
        </w:rPr>
        <w:drawing>
          <wp:inline distT="0" distB="0" distL="0" distR="0" wp14:anchorId="63CC3362" wp14:editId="2BDC3262">
            <wp:extent cx="4362450" cy="2543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12_effect.bmp"/>
                    <pic:cNvPicPr/>
                  </pic:nvPicPr>
                  <pic:blipFill rotWithShape="1">
                    <a:blip r:embed="rId16" cstate="print">
                      <a:extLst>
                        <a:ext uri="{28A0092B-C50C-407E-A947-70E740481C1C}">
                          <a14:useLocalDpi xmlns:a14="http://schemas.microsoft.com/office/drawing/2010/main" val="0"/>
                        </a:ext>
                      </a:extLst>
                    </a:blip>
                    <a:srcRect t="16562" r="4583"/>
                    <a:stretch/>
                  </pic:blipFill>
                  <pic:spPr bwMode="auto">
                    <a:xfrm>
                      <a:off x="0" y="0"/>
                      <a:ext cx="4362450" cy="2543175"/>
                    </a:xfrm>
                    <a:prstGeom prst="rect">
                      <a:avLst/>
                    </a:prstGeom>
                    <a:ln>
                      <a:noFill/>
                    </a:ln>
                    <a:extLst>
                      <a:ext uri="{53640926-AAD7-44D8-BBD7-CCE9431645EC}">
                        <a14:shadowObscured xmlns:a14="http://schemas.microsoft.com/office/drawing/2010/main"/>
                      </a:ext>
                    </a:extLst>
                  </pic:spPr>
                </pic:pic>
              </a:graphicData>
            </a:graphic>
          </wp:inline>
        </w:drawing>
      </w:r>
    </w:p>
    <w:p w:rsidR="005D568A" w:rsidRDefault="005D568A" w:rsidP="005D568A">
      <w:pPr>
        <w:spacing w:after="200" w:line="276" w:lineRule="auto"/>
        <w:rPr>
          <w:sz w:val="22"/>
        </w:rPr>
      </w:pPr>
      <w:r>
        <w:rPr>
          <w:sz w:val="22"/>
        </w:rPr>
        <w:br w:type="page"/>
      </w:r>
    </w:p>
    <w:p w:rsidR="005D568A" w:rsidRDefault="005D568A" w:rsidP="005D568A">
      <w:pPr>
        <w:spacing w:after="200" w:line="276" w:lineRule="auto"/>
        <w:rPr>
          <w:sz w:val="22"/>
        </w:rPr>
      </w:pPr>
      <w:proofErr w:type="gramStart"/>
      <w:r>
        <w:rPr>
          <w:sz w:val="22"/>
        </w:rPr>
        <w:lastRenderedPageBreak/>
        <w:t xml:space="preserve">Figure </w:t>
      </w:r>
      <w:r w:rsidR="00B47BE4">
        <w:rPr>
          <w:sz w:val="22"/>
        </w:rPr>
        <w:t>8</w:t>
      </w:r>
      <w:r>
        <w:rPr>
          <w:sz w:val="22"/>
        </w:rPr>
        <w:t>.</w:t>
      </w:r>
      <w:proofErr w:type="gramEnd"/>
      <w:r>
        <w:rPr>
          <w:sz w:val="22"/>
        </w:rPr>
        <w:t xml:space="preserve"> Relative price differences between MUL3 and MUL4 </w:t>
      </w:r>
    </w:p>
    <w:p w:rsidR="005D568A" w:rsidRDefault="005D568A" w:rsidP="005D568A">
      <w:pPr>
        <w:rPr>
          <w:sz w:val="22"/>
        </w:rPr>
      </w:pPr>
      <w:r>
        <w:rPr>
          <w:noProof/>
          <w:sz w:val="22"/>
          <w:lang w:eastAsia="en-NZ"/>
        </w:rPr>
        <w:drawing>
          <wp:inline distT="0" distB="0" distL="0" distR="0" wp14:anchorId="12D84C1C" wp14:editId="0EEC8E3D">
            <wp:extent cx="4352925" cy="2562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34_effect.bmp"/>
                    <pic:cNvPicPr/>
                  </pic:nvPicPr>
                  <pic:blipFill rotWithShape="1">
                    <a:blip r:embed="rId17" cstate="print">
                      <a:extLst>
                        <a:ext uri="{28A0092B-C50C-407E-A947-70E740481C1C}">
                          <a14:useLocalDpi xmlns:a14="http://schemas.microsoft.com/office/drawing/2010/main" val="0"/>
                        </a:ext>
                      </a:extLst>
                    </a:blip>
                    <a:srcRect t="15938" r="4791"/>
                    <a:stretch/>
                  </pic:blipFill>
                  <pic:spPr bwMode="auto">
                    <a:xfrm>
                      <a:off x="0" y="0"/>
                      <a:ext cx="4352925" cy="2562225"/>
                    </a:xfrm>
                    <a:prstGeom prst="rect">
                      <a:avLst/>
                    </a:prstGeom>
                    <a:ln>
                      <a:noFill/>
                    </a:ln>
                    <a:extLst>
                      <a:ext uri="{53640926-AAD7-44D8-BBD7-CCE9431645EC}">
                        <a14:shadowObscured xmlns:a14="http://schemas.microsoft.com/office/drawing/2010/main"/>
                      </a:ext>
                    </a:extLst>
                  </pic:spPr>
                </pic:pic>
              </a:graphicData>
            </a:graphic>
          </wp:inline>
        </w:drawing>
      </w:r>
    </w:p>
    <w:p w:rsidR="005D568A" w:rsidRPr="006B7ABF" w:rsidRDefault="005D568A" w:rsidP="005D568A">
      <w:pPr>
        <w:rPr>
          <w:rFonts w:eastAsiaTheme="minorEastAsia"/>
          <w:b/>
          <w:sz w:val="24"/>
          <w:szCs w:val="24"/>
          <w:lang w:eastAsia="zh-CN"/>
        </w:rPr>
      </w:pPr>
    </w:p>
    <w:p w:rsidR="005D568A" w:rsidRPr="00FF7A20" w:rsidRDefault="005D568A" w:rsidP="005D568A">
      <w:pPr>
        <w:rPr>
          <w:b/>
          <w:sz w:val="24"/>
          <w:szCs w:val="24"/>
        </w:rPr>
      </w:pPr>
      <w:r w:rsidRPr="00FF7A20">
        <w:rPr>
          <w:b/>
          <w:sz w:val="24"/>
          <w:szCs w:val="24"/>
        </w:rPr>
        <w:t>Conclusion</w:t>
      </w:r>
    </w:p>
    <w:p w:rsidR="006270AA" w:rsidRDefault="006270AA" w:rsidP="006270AA">
      <w:pPr>
        <w:rPr>
          <w:sz w:val="22"/>
        </w:rPr>
      </w:pPr>
      <w:r>
        <w:rPr>
          <w:sz w:val="22"/>
        </w:rPr>
        <w:t xml:space="preserve">The containment of Auckland city through the Metropolitan Urban Limit is a supply side rigidity that puts pressure on residential land prices, in particular around the MUL boundaries. </w:t>
      </w:r>
    </w:p>
    <w:p w:rsidR="006270AA" w:rsidRDefault="006270AA" w:rsidP="006270AA">
      <w:pPr>
        <w:rPr>
          <w:sz w:val="22"/>
        </w:rPr>
      </w:pPr>
    </w:p>
    <w:p w:rsidR="006270AA" w:rsidRDefault="006270AA" w:rsidP="006270AA">
      <w:pPr>
        <w:rPr>
          <w:sz w:val="22"/>
        </w:rPr>
      </w:pPr>
      <w:r>
        <w:rPr>
          <w:sz w:val="22"/>
        </w:rPr>
        <w:t xml:space="preserve">The MUL is a binding constraint on land supply. The value of the land price differential has increased since the late 1990s, indicating that the MUL has become increasingly binding as housing demand </w:t>
      </w:r>
      <w:r w:rsidR="00735E88">
        <w:rPr>
          <w:sz w:val="22"/>
        </w:rPr>
        <w:t>has intensified in Auckland region</w:t>
      </w:r>
      <w:r>
        <w:rPr>
          <w:sz w:val="22"/>
        </w:rPr>
        <w:t xml:space="preserve">. </w:t>
      </w:r>
    </w:p>
    <w:p w:rsidR="006270AA" w:rsidRDefault="006270AA" w:rsidP="006270AA">
      <w:pPr>
        <w:rPr>
          <w:sz w:val="22"/>
        </w:rPr>
      </w:pPr>
    </w:p>
    <w:p w:rsidR="006270AA" w:rsidRDefault="006270AA" w:rsidP="006270AA">
      <w:pPr>
        <w:rPr>
          <w:sz w:val="22"/>
        </w:rPr>
      </w:pPr>
      <w:r>
        <w:rPr>
          <w:sz w:val="22"/>
        </w:rPr>
        <w:t>T</w:t>
      </w:r>
      <w:r>
        <w:rPr>
          <w:rFonts w:eastAsiaTheme="minorEastAsia"/>
          <w:sz w:val="22"/>
          <w:lang w:eastAsia="zh-CN"/>
        </w:rPr>
        <w:t>his study shows that t</w:t>
      </w:r>
      <w:r>
        <w:rPr>
          <w:rFonts w:eastAsiaTheme="minorEastAsia" w:hint="eastAsia"/>
          <w:sz w:val="22"/>
          <w:lang w:eastAsia="zh-CN"/>
        </w:rPr>
        <w:t xml:space="preserve">he impact </w:t>
      </w:r>
      <w:r>
        <w:rPr>
          <w:rFonts w:eastAsiaTheme="minorEastAsia"/>
          <w:sz w:val="22"/>
          <w:lang w:eastAsia="zh-CN"/>
        </w:rPr>
        <w:t xml:space="preserve">of the MUL </w:t>
      </w:r>
      <w:r>
        <w:rPr>
          <w:rFonts w:eastAsiaTheme="minorEastAsia" w:hint="eastAsia"/>
          <w:sz w:val="22"/>
          <w:lang w:eastAsia="zh-CN"/>
        </w:rPr>
        <w:t xml:space="preserve">is uneven. </w:t>
      </w:r>
      <w:r>
        <w:rPr>
          <w:rFonts w:eastAsiaTheme="minorEastAsia"/>
          <w:sz w:val="22"/>
          <w:lang w:eastAsia="zh-CN"/>
        </w:rPr>
        <w:t>T</w:t>
      </w:r>
      <w:r>
        <w:rPr>
          <w:sz w:val="22"/>
        </w:rPr>
        <w:t xml:space="preserve">he impact on the </w:t>
      </w:r>
      <w:r>
        <w:rPr>
          <w:rFonts w:eastAsiaTheme="minorEastAsia" w:hint="eastAsia"/>
          <w:sz w:val="22"/>
          <w:lang w:eastAsia="zh-CN"/>
        </w:rPr>
        <w:t>lower-quartile</w:t>
      </w:r>
      <w:r>
        <w:rPr>
          <w:sz w:val="22"/>
        </w:rPr>
        <w:t xml:space="preserve"> land price range is the highest</w:t>
      </w:r>
      <w:r>
        <w:rPr>
          <w:rFonts w:eastAsiaTheme="minorEastAsia"/>
          <w:sz w:val="22"/>
          <w:lang w:eastAsia="zh-CN"/>
        </w:rPr>
        <w:t>, suggesting that the MUL has a profound effect on housing affordability for those at the lower end of the housing market.</w:t>
      </w:r>
    </w:p>
    <w:p w:rsidR="005D568A" w:rsidRPr="00F8248D" w:rsidRDefault="005D568A" w:rsidP="005D568A">
      <w:pPr>
        <w:spacing w:after="200" w:line="276" w:lineRule="auto"/>
        <w:rPr>
          <w:rFonts w:eastAsiaTheme="minorEastAsia"/>
          <w:sz w:val="22"/>
          <w:lang w:eastAsia="zh-CN"/>
        </w:rPr>
      </w:pPr>
    </w:p>
    <w:p w:rsidR="000A0351" w:rsidRDefault="000A0351">
      <w:pPr>
        <w:spacing w:after="200" w:line="276" w:lineRule="auto"/>
        <w:rPr>
          <w:b/>
          <w:sz w:val="24"/>
          <w:szCs w:val="24"/>
        </w:rPr>
      </w:pPr>
      <w:r>
        <w:rPr>
          <w:b/>
          <w:sz w:val="24"/>
          <w:szCs w:val="24"/>
        </w:rPr>
        <w:br w:type="page"/>
      </w:r>
    </w:p>
    <w:p w:rsidR="00F50BF3" w:rsidRDefault="00F874B7" w:rsidP="00F874B7">
      <w:pPr>
        <w:rPr>
          <w:b/>
          <w:sz w:val="24"/>
          <w:szCs w:val="24"/>
        </w:rPr>
      </w:pPr>
      <w:r w:rsidRPr="00F874B7">
        <w:rPr>
          <w:b/>
          <w:sz w:val="24"/>
          <w:szCs w:val="24"/>
        </w:rPr>
        <w:lastRenderedPageBreak/>
        <w:t>References</w:t>
      </w:r>
    </w:p>
    <w:p w:rsidR="00F50BF3" w:rsidRPr="00F50BF3" w:rsidRDefault="00F50BF3" w:rsidP="00F50BF3">
      <w:pPr>
        <w:spacing w:after="200" w:line="276" w:lineRule="auto"/>
        <w:rPr>
          <w:rFonts w:eastAsiaTheme="minorEastAsia"/>
          <w:sz w:val="22"/>
          <w:lang w:eastAsia="zh-CN"/>
        </w:rPr>
      </w:pPr>
      <w:proofErr w:type="spellStart"/>
      <w:r w:rsidRPr="00F50BF3">
        <w:rPr>
          <w:rFonts w:eastAsiaTheme="minorEastAsia"/>
          <w:sz w:val="22"/>
          <w:lang w:eastAsia="zh-CN"/>
        </w:rPr>
        <w:t>Anselin</w:t>
      </w:r>
      <w:proofErr w:type="spellEnd"/>
      <w:r w:rsidRPr="00F50BF3">
        <w:rPr>
          <w:rFonts w:eastAsiaTheme="minorEastAsia"/>
          <w:sz w:val="22"/>
          <w:lang w:eastAsia="zh-CN"/>
        </w:rPr>
        <w:t>, L. (1988</w:t>
      </w:r>
      <w:proofErr w:type="gramStart"/>
      <w:r w:rsidRPr="00F50BF3">
        <w:rPr>
          <w:rFonts w:eastAsiaTheme="minorEastAsia"/>
          <w:sz w:val="22"/>
          <w:lang w:eastAsia="zh-CN"/>
        </w:rPr>
        <w:t>)  Spatial</w:t>
      </w:r>
      <w:proofErr w:type="gramEnd"/>
      <w:r w:rsidRPr="00F50BF3">
        <w:rPr>
          <w:rFonts w:eastAsiaTheme="minorEastAsia"/>
          <w:sz w:val="22"/>
          <w:lang w:eastAsia="zh-CN"/>
        </w:rPr>
        <w:t xml:space="preserve"> Econometrics: Methods and Models, Dordrecht: Kluwer Academic</w:t>
      </w:r>
    </w:p>
    <w:p w:rsidR="00F50BF3" w:rsidRPr="00F50BF3" w:rsidRDefault="00F50BF3" w:rsidP="00F50BF3">
      <w:pPr>
        <w:spacing w:after="200" w:line="276" w:lineRule="auto"/>
        <w:rPr>
          <w:rFonts w:eastAsiaTheme="minorEastAsia"/>
          <w:color w:val="000000"/>
          <w:sz w:val="22"/>
          <w:shd w:val="clear" w:color="auto" w:fill="FFFFFF"/>
          <w:lang w:eastAsia="zh-CN"/>
        </w:rPr>
      </w:pPr>
      <w:r w:rsidRPr="00F50BF3">
        <w:rPr>
          <w:color w:val="000000"/>
          <w:sz w:val="22"/>
          <w:shd w:val="clear" w:color="auto" w:fill="FFFFFF"/>
        </w:rPr>
        <w:t xml:space="preserve">Cliff, A. D., </w:t>
      </w:r>
      <w:proofErr w:type="spellStart"/>
      <w:r w:rsidRPr="00F50BF3">
        <w:rPr>
          <w:color w:val="000000"/>
          <w:sz w:val="22"/>
          <w:shd w:val="clear" w:color="auto" w:fill="FFFFFF"/>
        </w:rPr>
        <w:t>Ord</w:t>
      </w:r>
      <w:proofErr w:type="spellEnd"/>
      <w:r w:rsidRPr="00F50BF3">
        <w:rPr>
          <w:color w:val="000000"/>
          <w:sz w:val="22"/>
          <w:shd w:val="clear" w:color="auto" w:fill="FFFFFF"/>
        </w:rPr>
        <w:t>, J. K. 1981 Spatial processes, Pion</w:t>
      </w:r>
    </w:p>
    <w:p w:rsidR="00F50BF3" w:rsidRDefault="00F50BF3" w:rsidP="00F50BF3">
      <w:pPr>
        <w:spacing w:after="200" w:line="276" w:lineRule="auto"/>
        <w:rPr>
          <w:rFonts w:cs="Arial"/>
          <w:color w:val="000000"/>
          <w:sz w:val="22"/>
          <w:shd w:val="clear" w:color="auto" w:fill="FFFFFF"/>
        </w:rPr>
      </w:pPr>
      <w:proofErr w:type="spellStart"/>
      <w:r w:rsidRPr="00F50BF3">
        <w:rPr>
          <w:rFonts w:cs="Arial"/>
          <w:color w:val="000000"/>
          <w:sz w:val="22"/>
          <w:shd w:val="clear" w:color="auto" w:fill="FFFFFF"/>
        </w:rPr>
        <w:t>Efron</w:t>
      </w:r>
      <w:proofErr w:type="spellEnd"/>
      <w:r w:rsidRPr="00F50BF3">
        <w:rPr>
          <w:rFonts w:eastAsiaTheme="minorEastAsia" w:cs="Arial"/>
          <w:color w:val="000000"/>
          <w:sz w:val="22"/>
          <w:shd w:val="clear" w:color="auto" w:fill="FFFFFF"/>
          <w:lang w:eastAsia="zh-CN"/>
        </w:rPr>
        <w:t>, B.</w:t>
      </w:r>
      <w:r w:rsidRPr="00F50BF3">
        <w:rPr>
          <w:rFonts w:cs="Arial"/>
          <w:color w:val="000000"/>
          <w:sz w:val="22"/>
          <w:shd w:val="clear" w:color="auto" w:fill="FFFFFF"/>
        </w:rPr>
        <w:t xml:space="preserve"> (1979). "Bootstrap Methods: Another Look at the </w:t>
      </w:r>
      <w:proofErr w:type="spellStart"/>
      <w:r w:rsidRPr="00F50BF3">
        <w:rPr>
          <w:rFonts w:cs="Arial"/>
          <w:color w:val="000000"/>
          <w:sz w:val="22"/>
          <w:shd w:val="clear" w:color="auto" w:fill="FFFFFF"/>
        </w:rPr>
        <w:t>Jackknife</w:t>
      </w:r>
      <w:proofErr w:type="spellEnd"/>
      <w:r w:rsidRPr="00F50BF3">
        <w:rPr>
          <w:rFonts w:cs="Arial"/>
          <w:color w:val="000000"/>
          <w:sz w:val="22"/>
          <w:shd w:val="clear" w:color="auto" w:fill="FFFFFF"/>
        </w:rPr>
        <w:t>".</w:t>
      </w:r>
      <w:r w:rsidRPr="00F50BF3">
        <w:rPr>
          <w:rStyle w:val="apple-converted-space"/>
          <w:rFonts w:cs="Arial"/>
          <w:color w:val="000000"/>
          <w:sz w:val="22"/>
          <w:shd w:val="clear" w:color="auto" w:fill="FFFFFF"/>
        </w:rPr>
        <w:t> </w:t>
      </w:r>
      <w:r w:rsidRPr="00F50BF3">
        <w:rPr>
          <w:rFonts w:cs="Arial"/>
          <w:i/>
          <w:iCs/>
          <w:color w:val="000000"/>
          <w:sz w:val="22"/>
          <w:shd w:val="clear" w:color="auto" w:fill="FFFFFF"/>
        </w:rPr>
        <w:t>The Annals of Statistics</w:t>
      </w:r>
      <w:r w:rsidRPr="00F50BF3">
        <w:rPr>
          <w:rStyle w:val="apple-converted-space"/>
          <w:rFonts w:cs="Arial"/>
          <w:color w:val="000000"/>
          <w:sz w:val="22"/>
          <w:shd w:val="clear" w:color="auto" w:fill="FFFFFF"/>
        </w:rPr>
        <w:t> </w:t>
      </w:r>
      <w:r w:rsidRPr="00F50BF3">
        <w:rPr>
          <w:rFonts w:cs="Arial"/>
          <w:b/>
          <w:bCs/>
          <w:color w:val="000000"/>
          <w:sz w:val="22"/>
          <w:shd w:val="clear" w:color="auto" w:fill="FFFFFF"/>
        </w:rPr>
        <w:t>7</w:t>
      </w:r>
      <w:r w:rsidRPr="00F50BF3">
        <w:rPr>
          <w:rStyle w:val="apple-converted-space"/>
          <w:rFonts w:cs="Arial"/>
          <w:color w:val="000000"/>
          <w:sz w:val="22"/>
          <w:shd w:val="clear" w:color="auto" w:fill="FFFFFF"/>
        </w:rPr>
        <w:t> </w:t>
      </w:r>
      <w:r w:rsidRPr="00F50BF3">
        <w:rPr>
          <w:rFonts w:cs="Arial"/>
          <w:color w:val="000000"/>
          <w:sz w:val="22"/>
          <w:shd w:val="clear" w:color="auto" w:fill="FFFFFF"/>
        </w:rPr>
        <w:t>(1): 1–26</w:t>
      </w:r>
    </w:p>
    <w:p w:rsidR="00F50BF3" w:rsidRPr="00F50BF3" w:rsidRDefault="00F50BF3" w:rsidP="00F50BF3">
      <w:pPr>
        <w:spacing w:after="200" w:line="276" w:lineRule="auto"/>
        <w:rPr>
          <w:rFonts w:eastAsiaTheme="minorEastAsia"/>
          <w:sz w:val="22"/>
          <w:lang w:eastAsia="zh-CN"/>
        </w:rPr>
      </w:pPr>
      <w:r w:rsidRPr="00F50BF3">
        <w:rPr>
          <w:rFonts w:eastAsiaTheme="minorEastAsia"/>
          <w:sz w:val="22"/>
          <w:lang w:eastAsia="zh-CN"/>
        </w:rPr>
        <w:t xml:space="preserve">Grimes, A. </w:t>
      </w:r>
      <w:proofErr w:type="gramStart"/>
      <w:r w:rsidRPr="00F50BF3">
        <w:rPr>
          <w:rFonts w:eastAsiaTheme="minorEastAsia"/>
          <w:sz w:val="22"/>
          <w:lang w:eastAsia="zh-CN"/>
        </w:rPr>
        <w:t>&amp;  Liang</w:t>
      </w:r>
      <w:proofErr w:type="gramEnd"/>
      <w:r w:rsidRPr="00F50BF3">
        <w:rPr>
          <w:rFonts w:eastAsiaTheme="minorEastAsia"/>
          <w:sz w:val="22"/>
          <w:lang w:eastAsia="zh-CN"/>
        </w:rPr>
        <w:t>, Y. (2009) ‘Spatial Determinants of Land Prices in Auckland: Does the Metropolitan Urban Limit Have an Effect?’, Applied Spatial Analysis and Policy, 2:1, 23-45</w:t>
      </w:r>
    </w:p>
    <w:p w:rsidR="00F50BF3" w:rsidRDefault="00F50BF3" w:rsidP="00F50BF3">
      <w:pPr>
        <w:spacing w:after="200" w:line="276" w:lineRule="auto"/>
        <w:rPr>
          <w:rFonts w:eastAsiaTheme="minorEastAsia"/>
          <w:color w:val="000000"/>
          <w:sz w:val="22"/>
          <w:shd w:val="clear" w:color="auto" w:fill="FFFFFF"/>
          <w:lang w:eastAsia="zh-CN"/>
        </w:rPr>
      </w:pPr>
      <w:proofErr w:type="spellStart"/>
      <w:r w:rsidRPr="00F50BF3">
        <w:rPr>
          <w:rFonts w:eastAsiaTheme="minorEastAsia"/>
          <w:color w:val="000000"/>
          <w:sz w:val="22"/>
          <w:shd w:val="clear" w:color="auto" w:fill="FFFFFF"/>
          <w:lang w:eastAsia="zh-CN"/>
        </w:rPr>
        <w:t>Gyourko</w:t>
      </w:r>
      <w:proofErr w:type="spellEnd"/>
      <w:r w:rsidRPr="00F50BF3">
        <w:rPr>
          <w:rFonts w:eastAsiaTheme="minorEastAsia"/>
          <w:color w:val="000000"/>
          <w:sz w:val="22"/>
          <w:shd w:val="clear" w:color="auto" w:fill="FFFFFF"/>
          <w:lang w:eastAsia="zh-CN"/>
        </w:rPr>
        <w:t xml:space="preserve">, J., </w:t>
      </w:r>
      <w:proofErr w:type="spellStart"/>
      <w:r w:rsidRPr="00F50BF3">
        <w:rPr>
          <w:rFonts w:eastAsiaTheme="minorEastAsia"/>
          <w:color w:val="000000"/>
          <w:sz w:val="22"/>
          <w:shd w:val="clear" w:color="auto" w:fill="FFFFFF"/>
          <w:lang w:eastAsia="zh-CN"/>
        </w:rPr>
        <w:t>Saiz</w:t>
      </w:r>
      <w:proofErr w:type="spellEnd"/>
      <w:r w:rsidRPr="00F50BF3">
        <w:rPr>
          <w:rFonts w:eastAsiaTheme="minorEastAsia"/>
          <w:color w:val="000000"/>
          <w:sz w:val="22"/>
          <w:shd w:val="clear" w:color="auto" w:fill="FFFFFF"/>
          <w:lang w:eastAsia="zh-CN"/>
        </w:rPr>
        <w:t xml:space="preserve">, A. and </w:t>
      </w:r>
      <w:proofErr w:type="gramStart"/>
      <w:r w:rsidRPr="00F50BF3">
        <w:rPr>
          <w:rFonts w:eastAsiaTheme="minorEastAsia"/>
          <w:color w:val="000000"/>
          <w:sz w:val="22"/>
          <w:shd w:val="clear" w:color="auto" w:fill="FFFFFF"/>
          <w:lang w:eastAsia="zh-CN"/>
        </w:rPr>
        <w:t>Summers</w:t>
      </w:r>
      <w:proofErr w:type="gramEnd"/>
      <w:r w:rsidRPr="00F50BF3">
        <w:rPr>
          <w:rFonts w:eastAsiaTheme="minorEastAsia"/>
          <w:color w:val="000000"/>
          <w:sz w:val="22"/>
          <w:shd w:val="clear" w:color="auto" w:fill="FFFFFF"/>
          <w:lang w:eastAsia="zh-CN"/>
        </w:rPr>
        <w:t>, A., (2008). “A new measure of the local regulatory environment for housing markets: the Wharton Residential Land Use regulatory Index. Urban Studies, 45(3), 693-729</w:t>
      </w:r>
    </w:p>
    <w:p w:rsidR="00F50BF3" w:rsidRPr="00F50BF3" w:rsidRDefault="00F50BF3" w:rsidP="00F50BF3">
      <w:pPr>
        <w:spacing w:after="200" w:line="276" w:lineRule="auto"/>
        <w:rPr>
          <w:rFonts w:eastAsiaTheme="minorEastAsia"/>
          <w:color w:val="000000"/>
          <w:sz w:val="22"/>
          <w:shd w:val="clear" w:color="auto" w:fill="FFFFFF"/>
          <w:lang w:eastAsia="zh-CN"/>
        </w:rPr>
      </w:pPr>
      <w:proofErr w:type="spellStart"/>
      <w:r>
        <w:rPr>
          <w:rFonts w:eastAsiaTheme="minorEastAsia"/>
          <w:color w:val="000000"/>
          <w:sz w:val="22"/>
          <w:shd w:val="clear" w:color="auto" w:fill="FFFFFF"/>
          <w:lang w:eastAsia="zh-CN"/>
        </w:rPr>
        <w:t>Gyourko</w:t>
      </w:r>
      <w:proofErr w:type="spellEnd"/>
      <w:r>
        <w:rPr>
          <w:rFonts w:eastAsiaTheme="minorEastAsia"/>
          <w:color w:val="000000"/>
          <w:sz w:val="22"/>
          <w:shd w:val="clear" w:color="auto" w:fill="FFFFFF"/>
          <w:lang w:eastAsia="zh-CN"/>
        </w:rPr>
        <w:t xml:space="preserve">, J., (2009). </w:t>
      </w:r>
      <w:proofErr w:type="gramStart"/>
      <w:r>
        <w:rPr>
          <w:rFonts w:eastAsiaTheme="minorEastAsia"/>
          <w:color w:val="000000"/>
          <w:sz w:val="22"/>
          <w:shd w:val="clear" w:color="auto" w:fill="FFFFFF"/>
          <w:lang w:eastAsia="zh-CN"/>
        </w:rPr>
        <w:t>“Housing supply”.</w:t>
      </w:r>
      <w:proofErr w:type="gramEnd"/>
      <w:r>
        <w:rPr>
          <w:rFonts w:eastAsiaTheme="minorEastAsia"/>
          <w:color w:val="000000"/>
          <w:sz w:val="22"/>
          <w:shd w:val="clear" w:color="auto" w:fill="FFFFFF"/>
          <w:lang w:eastAsia="zh-CN"/>
        </w:rPr>
        <w:t xml:space="preserve"> </w:t>
      </w:r>
      <w:proofErr w:type="gramStart"/>
      <w:r>
        <w:rPr>
          <w:rFonts w:eastAsiaTheme="minorEastAsia"/>
          <w:color w:val="000000"/>
          <w:sz w:val="22"/>
          <w:shd w:val="clear" w:color="auto" w:fill="FFFFFF"/>
          <w:lang w:eastAsia="zh-CN"/>
        </w:rPr>
        <w:t>Annual Review of Economics, 1, pp.295-318.</w:t>
      </w:r>
      <w:proofErr w:type="gramEnd"/>
    </w:p>
    <w:p w:rsidR="00F50BF3" w:rsidRPr="00F50BF3" w:rsidRDefault="00F50BF3" w:rsidP="00F50BF3">
      <w:pPr>
        <w:spacing w:after="200" w:line="276" w:lineRule="auto"/>
        <w:rPr>
          <w:rFonts w:eastAsiaTheme="minorEastAsia"/>
          <w:color w:val="000000"/>
          <w:sz w:val="22"/>
          <w:shd w:val="clear" w:color="auto" w:fill="FFFFFF"/>
          <w:lang w:eastAsia="zh-CN"/>
        </w:rPr>
      </w:pPr>
      <w:proofErr w:type="spellStart"/>
      <w:proofErr w:type="gramStart"/>
      <w:r w:rsidRPr="00F50BF3">
        <w:rPr>
          <w:rFonts w:eastAsiaTheme="minorEastAsia"/>
          <w:color w:val="000000"/>
          <w:sz w:val="22"/>
          <w:shd w:val="clear" w:color="auto" w:fill="FFFFFF"/>
          <w:lang w:eastAsia="zh-CN"/>
        </w:rPr>
        <w:t>Hao</w:t>
      </w:r>
      <w:proofErr w:type="spellEnd"/>
      <w:r w:rsidRPr="00F50BF3">
        <w:rPr>
          <w:rFonts w:eastAsiaTheme="minorEastAsia"/>
          <w:color w:val="000000"/>
          <w:sz w:val="22"/>
          <w:shd w:val="clear" w:color="auto" w:fill="FFFFFF"/>
          <w:lang w:eastAsia="zh-CN"/>
        </w:rPr>
        <w:t xml:space="preserve">, L. &amp; </w:t>
      </w:r>
      <w:proofErr w:type="spellStart"/>
      <w:r w:rsidRPr="00F50BF3">
        <w:rPr>
          <w:rFonts w:eastAsiaTheme="minorEastAsia"/>
          <w:color w:val="000000"/>
          <w:sz w:val="22"/>
          <w:shd w:val="clear" w:color="auto" w:fill="FFFFFF"/>
          <w:lang w:eastAsia="zh-CN"/>
        </w:rPr>
        <w:t>Naiman</w:t>
      </w:r>
      <w:proofErr w:type="spellEnd"/>
      <w:r w:rsidRPr="00F50BF3">
        <w:rPr>
          <w:rFonts w:eastAsiaTheme="minorEastAsia"/>
          <w:color w:val="000000"/>
          <w:sz w:val="22"/>
          <w:shd w:val="clear" w:color="auto" w:fill="FFFFFF"/>
          <w:lang w:eastAsia="zh-CN"/>
        </w:rPr>
        <w:t>, Q, D. (2007).</w:t>
      </w:r>
      <w:proofErr w:type="gramEnd"/>
      <w:r w:rsidRPr="00F50BF3">
        <w:rPr>
          <w:rFonts w:eastAsiaTheme="minorEastAsia"/>
          <w:color w:val="000000"/>
          <w:sz w:val="22"/>
          <w:shd w:val="clear" w:color="auto" w:fill="FFFFFF"/>
          <w:lang w:eastAsia="zh-CN"/>
        </w:rPr>
        <w:t xml:space="preserve"> </w:t>
      </w:r>
      <w:proofErr w:type="spellStart"/>
      <w:r w:rsidRPr="00F50BF3">
        <w:rPr>
          <w:rFonts w:eastAsiaTheme="minorEastAsia"/>
          <w:color w:val="000000"/>
          <w:sz w:val="22"/>
          <w:shd w:val="clear" w:color="auto" w:fill="FFFFFF"/>
          <w:lang w:eastAsia="zh-CN"/>
        </w:rPr>
        <w:t>Quantile</w:t>
      </w:r>
      <w:proofErr w:type="spellEnd"/>
      <w:r w:rsidRPr="00F50BF3">
        <w:rPr>
          <w:rFonts w:eastAsiaTheme="minorEastAsia"/>
          <w:color w:val="000000"/>
          <w:sz w:val="22"/>
          <w:shd w:val="clear" w:color="auto" w:fill="FFFFFF"/>
          <w:lang w:eastAsia="zh-CN"/>
        </w:rPr>
        <w:t xml:space="preserve"> regression, Sage publications</w:t>
      </w:r>
    </w:p>
    <w:p w:rsidR="00F50BF3" w:rsidRPr="00F50BF3" w:rsidRDefault="00F50BF3" w:rsidP="00F50BF3">
      <w:pPr>
        <w:spacing w:after="200" w:line="276" w:lineRule="auto"/>
        <w:rPr>
          <w:rFonts w:eastAsiaTheme="minorEastAsia"/>
          <w:sz w:val="22"/>
          <w:lang w:eastAsia="zh-CN"/>
        </w:rPr>
      </w:pPr>
      <w:proofErr w:type="spellStart"/>
      <w:proofErr w:type="gramStart"/>
      <w:r w:rsidRPr="00F50BF3">
        <w:rPr>
          <w:rFonts w:eastAsiaTheme="minorEastAsia"/>
          <w:sz w:val="22"/>
          <w:lang w:eastAsia="zh-CN"/>
        </w:rPr>
        <w:t>Koenker</w:t>
      </w:r>
      <w:proofErr w:type="spellEnd"/>
      <w:r w:rsidRPr="00F50BF3">
        <w:rPr>
          <w:rFonts w:eastAsiaTheme="minorEastAsia"/>
          <w:sz w:val="22"/>
          <w:lang w:eastAsia="zh-CN"/>
        </w:rPr>
        <w:t xml:space="preserve">, R. and Bassett, G. “Regression </w:t>
      </w:r>
      <w:proofErr w:type="spellStart"/>
      <w:r w:rsidRPr="00F50BF3">
        <w:rPr>
          <w:rFonts w:eastAsiaTheme="minorEastAsia"/>
          <w:sz w:val="22"/>
          <w:lang w:eastAsia="zh-CN"/>
        </w:rPr>
        <w:t>Quantiles</w:t>
      </w:r>
      <w:proofErr w:type="spellEnd"/>
      <w:r w:rsidRPr="00F50BF3">
        <w:rPr>
          <w:rFonts w:eastAsiaTheme="minorEastAsia"/>
          <w:sz w:val="22"/>
          <w:lang w:eastAsia="zh-CN"/>
        </w:rPr>
        <w:t xml:space="preserve">", </w:t>
      </w:r>
      <w:proofErr w:type="spellStart"/>
      <w:r w:rsidRPr="00F50BF3">
        <w:rPr>
          <w:rFonts w:eastAsiaTheme="minorEastAsia"/>
          <w:sz w:val="22"/>
          <w:lang w:eastAsia="zh-CN"/>
        </w:rPr>
        <w:t>Econometrica</w:t>
      </w:r>
      <w:proofErr w:type="spellEnd"/>
      <w:r w:rsidRPr="00F50BF3">
        <w:rPr>
          <w:rFonts w:eastAsiaTheme="minorEastAsia"/>
          <w:sz w:val="22"/>
          <w:lang w:eastAsia="zh-CN"/>
        </w:rPr>
        <w:t xml:space="preserve">, </w:t>
      </w:r>
      <w:proofErr w:type="spellStart"/>
      <w:r w:rsidRPr="00F50BF3">
        <w:rPr>
          <w:rFonts w:eastAsiaTheme="minorEastAsia"/>
          <w:sz w:val="22"/>
          <w:lang w:eastAsia="zh-CN"/>
        </w:rPr>
        <w:t>vol</w:t>
      </w:r>
      <w:proofErr w:type="spellEnd"/>
      <w:r w:rsidRPr="00F50BF3">
        <w:rPr>
          <w:rFonts w:eastAsiaTheme="minorEastAsia"/>
          <w:sz w:val="22"/>
          <w:lang w:eastAsia="zh-CN"/>
        </w:rPr>
        <w:t xml:space="preserve"> 46, 33-50, 1978.</w:t>
      </w:r>
      <w:proofErr w:type="gramEnd"/>
    </w:p>
    <w:p w:rsidR="00F50BF3" w:rsidRPr="00F50BF3" w:rsidRDefault="00F50BF3" w:rsidP="00F50BF3">
      <w:pPr>
        <w:spacing w:after="200" w:line="276" w:lineRule="auto"/>
        <w:rPr>
          <w:rFonts w:eastAsiaTheme="minorEastAsia" w:cs="Arial"/>
          <w:color w:val="000000"/>
          <w:sz w:val="22"/>
          <w:shd w:val="clear" w:color="auto" w:fill="FFFFFF"/>
          <w:lang w:eastAsia="zh-CN"/>
        </w:rPr>
      </w:pPr>
      <w:proofErr w:type="gramStart"/>
      <w:r w:rsidRPr="00F50BF3">
        <w:rPr>
          <w:rFonts w:cs="Arial"/>
          <w:sz w:val="22"/>
          <w:shd w:val="clear" w:color="auto" w:fill="FFFFFF"/>
        </w:rPr>
        <w:t>Moran, P. A. P.</w:t>
      </w:r>
      <w:r w:rsidRPr="00F50BF3">
        <w:rPr>
          <w:rStyle w:val="apple-converted-space"/>
          <w:rFonts w:cs="Arial"/>
          <w:color w:val="000000"/>
          <w:sz w:val="22"/>
          <w:shd w:val="clear" w:color="auto" w:fill="FFFFFF"/>
        </w:rPr>
        <w:t> </w:t>
      </w:r>
      <w:r w:rsidRPr="00F50BF3">
        <w:rPr>
          <w:rFonts w:cs="Arial"/>
          <w:color w:val="000000"/>
          <w:sz w:val="22"/>
          <w:shd w:val="clear" w:color="auto" w:fill="FFFFFF"/>
        </w:rPr>
        <w:t>(1950).</w:t>
      </w:r>
      <w:proofErr w:type="gramEnd"/>
      <w:r w:rsidRPr="00F50BF3">
        <w:rPr>
          <w:rFonts w:cs="Arial"/>
          <w:color w:val="000000"/>
          <w:sz w:val="22"/>
          <w:shd w:val="clear" w:color="auto" w:fill="FFFFFF"/>
        </w:rPr>
        <w:t xml:space="preserve"> </w:t>
      </w:r>
      <w:proofErr w:type="gramStart"/>
      <w:r w:rsidRPr="00F50BF3">
        <w:rPr>
          <w:rFonts w:cs="Arial"/>
          <w:color w:val="000000"/>
          <w:sz w:val="22"/>
          <w:shd w:val="clear" w:color="auto" w:fill="FFFFFF"/>
        </w:rPr>
        <w:t>"Notes on Continuous Stochastic Phenomena".</w:t>
      </w:r>
      <w:proofErr w:type="gramEnd"/>
      <w:r w:rsidRPr="00F50BF3">
        <w:rPr>
          <w:rStyle w:val="apple-converted-space"/>
          <w:rFonts w:cs="Arial"/>
          <w:color w:val="000000"/>
          <w:sz w:val="22"/>
          <w:shd w:val="clear" w:color="auto" w:fill="FFFFFF"/>
        </w:rPr>
        <w:t> </w:t>
      </w:r>
      <w:proofErr w:type="spellStart"/>
      <w:r w:rsidRPr="00F50BF3">
        <w:rPr>
          <w:rFonts w:cs="Arial"/>
          <w:i/>
          <w:iCs/>
          <w:color w:val="000000"/>
          <w:sz w:val="22"/>
          <w:shd w:val="clear" w:color="auto" w:fill="FFFFFF"/>
        </w:rPr>
        <w:t>Biometrika</w:t>
      </w:r>
      <w:proofErr w:type="spellEnd"/>
      <w:r w:rsidRPr="00F50BF3">
        <w:rPr>
          <w:rStyle w:val="apple-converted-space"/>
          <w:rFonts w:cs="Arial"/>
          <w:color w:val="000000"/>
          <w:sz w:val="22"/>
          <w:shd w:val="clear" w:color="auto" w:fill="FFFFFF"/>
        </w:rPr>
        <w:t> </w:t>
      </w:r>
      <w:r w:rsidRPr="00F50BF3">
        <w:rPr>
          <w:rFonts w:cs="Arial"/>
          <w:b/>
          <w:bCs/>
          <w:color w:val="000000"/>
          <w:sz w:val="22"/>
          <w:shd w:val="clear" w:color="auto" w:fill="FFFFFF"/>
        </w:rPr>
        <w:t>37</w:t>
      </w:r>
      <w:r w:rsidRPr="00F50BF3">
        <w:rPr>
          <w:rStyle w:val="apple-converted-space"/>
          <w:rFonts w:cs="Arial"/>
          <w:color w:val="000000"/>
          <w:sz w:val="22"/>
          <w:shd w:val="clear" w:color="auto" w:fill="FFFFFF"/>
        </w:rPr>
        <w:t> </w:t>
      </w:r>
      <w:r w:rsidRPr="00F50BF3">
        <w:rPr>
          <w:rFonts w:cs="Arial"/>
          <w:color w:val="000000"/>
          <w:sz w:val="22"/>
          <w:shd w:val="clear" w:color="auto" w:fill="FFFFFF"/>
        </w:rPr>
        <w:t>(1): 17–23.</w:t>
      </w:r>
    </w:p>
    <w:p w:rsidR="00F50BF3" w:rsidRPr="00F50BF3" w:rsidRDefault="00F50BF3" w:rsidP="00F50BF3">
      <w:pPr>
        <w:spacing w:after="200" w:line="276" w:lineRule="auto"/>
        <w:rPr>
          <w:rFonts w:eastAsiaTheme="minorEastAsia"/>
          <w:color w:val="000000"/>
          <w:sz w:val="22"/>
          <w:shd w:val="clear" w:color="auto" w:fill="FFFFFF"/>
          <w:lang w:eastAsia="zh-CN"/>
        </w:rPr>
      </w:pPr>
      <w:proofErr w:type="spellStart"/>
      <w:proofErr w:type="gramStart"/>
      <w:r w:rsidRPr="00F50BF3">
        <w:rPr>
          <w:rFonts w:eastAsiaTheme="minorEastAsia"/>
          <w:color w:val="000000"/>
          <w:sz w:val="22"/>
          <w:shd w:val="clear" w:color="auto" w:fill="FFFFFF"/>
          <w:lang w:eastAsia="zh-CN"/>
        </w:rPr>
        <w:t>Motu</w:t>
      </w:r>
      <w:proofErr w:type="spellEnd"/>
      <w:r w:rsidRPr="00F50BF3">
        <w:rPr>
          <w:rFonts w:eastAsiaTheme="minorEastAsia"/>
          <w:color w:val="000000"/>
          <w:sz w:val="22"/>
          <w:shd w:val="clear" w:color="auto" w:fill="FFFFFF"/>
          <w:lang w:eastAsia="zh-CN"/>
        </w:rPr>
        <w:t xml:space="preserve"> Economic and Public Policy Research.</w:t>
      </w:r>
      <w:proofErr w:type="gramEnd"/>
      <w:r w:rsidRPr="00F50BF3">
        <w:rPr>
          <w:rFonts w:eastAsiaTheme="minorEastAsia"/>
          <w:color w:val="000000"/>
          <w:sz w:val="22"/>
          <w:shd w:val="clear" w:color="auto" w:fill="FFFFFF"/>
          <w:lang w:eastAsia="zh-CN"/>
        </w:rPr>
        <w:t xml:space="preserve"> (2007) “housing supply in the Auckland region 2000-2005”, Centre for Housing Research</w:t>
      </w:r>
    </w:p>
    <w:p w:rsidR="00F50BF3" w:rsidRDefault="00F50BF3" w:rsidP="00F50BF3">
      <w:pPr>
        <w:spacing w:after="200" w:line="276" w:lineRule="auto"/>
        <w:rPr>
          <w:rFonts w:eastAsiaTheme="minorEastAsia"/>
          <w:sz w:val="22"/>
          <w:lang w:eastAsia="zh-CN"/>
        </w:rPr>
      </w:pPr>
      <w:proofErr w:type="gramStart"/>
      <w:r w:rsidRPr="00F50BF3">
        <w:rPr>
          <w:rFonts w:eastAsiaTheme="minorEastAsia"/>
          <w:sz w:val="22"/>
          <w:lang w:eastAsia="zh-CN"/>
        </w:rPr>
        <w:t>New Zealand Productivity Commission</w:t>
      </w:r>
      <w:r>
        <w:rPr>
          <w:rFonts w:eastAsiaTheme="minorEastAsia"/>
          <w:sz w:val="22"/>
          <w:lang w:eastAsia="zh-CN"/>
        </w:rPr>
        <w:t xml:space="preserve"> (2012</w:t>
      </w:r>
      <w:r w:rsidRPr="00F50BF3">
        <w:rPr>
          <w:rFonts w:eastAsiaTheme="minorEastAsia"/>
          <w:sz w:val="22"/>
          <w:lang w:eastAsia="zh-CN"/>
        </w:rPr>
        <w:t>).</w:t>
      </w:r>
      <w:proofErr w:type="gramEnd"/>
      <w:r w:rsidRPr="00F50BF3">
        <w:rPr>
          <w:rFonts w:eastAsiaTheme="minorEastAsia"/>
          <w:sz w:val="22"/>
          <w:lang w:eastAsia="zh-CN"/>
        </w:rPr>
        <w:t xml:space="preserve"> </w:t>
      </w:r>
      <w:proofErr w:type="gramStart"/>
      <w:r w:rsidRPr="00F50BF3">
        <w:rPr>
          <w:rFonts w:eastAsiaTheme="minorEastAsia"/>
          <w:sz w:val="22"/>
          <w:lang w:eastAsia="zh-CN"/>
        </w:rPr>
        <w:t>‘Housing affordability inquiry’.</w:t>
      </w:r>
      <w:proofErr w:type="gramEnd"/>
      <w:r>
        <w:rPr>
          <w:rFonts w:eastAsiaTheme="minorEastAsia"/>
          <w:sz w:val="22"/>
          <w:lang w:eastAsia="zh-CN"/>
        </w:rPr>
        <w:t xml:space="preserve"> </w:t>
      </w:r>
      <w:hyperlink r:id="rId18" w:history="1">
        <w:r w:rsidRPr="00783B1F">
          <w:rPr>
            <w:rStyle w:val="Hyperlink"/>
            <w:rFonts w:eastAsiaTheme="minorEastAsia"/>
            <w:sz w:val="22"/>
            <w:lang w:eastAsia="zh-CN"/>
          </w:rPr>
          <w:t>http://www.productivity.govt.nz/inquiry-content/1509</w:t>
        </w:r>
      </w:hyperlink>
    </w:p>
    <w:p w:rsidR="00F50BF3" w:rsidRPr="00F50BF3" w:rsidRDefault="00F50BF3" w:rsidP="00F50BF3">
      <w:pPr>
        <w:spacing w:after="200" w:line="276" w:lineRule="auto"/>
        <w:rPr>
          <w:rFonts w:eastAsiaTheme="minorEastAsia" w:cs="Arial"/>
          <w:color w:val="000000"/>
          <w:sz w:val="22"/>
          <w:shd w:val="clear" w:color="auto" w:fill="FFFFFF"/>
          <w:lang w:eastAsia="zh-CN"/>
        </w:rPr>
      </w:pPr>
      <w:proofErr w:type="spellStart"/>
      <w:r w:rsidRPr="00F50BF3">
        <w:rPr>
          <w:rFonts w:eastAsiaTheme="minorEastAsia" w:cs="Arial"/>
          <w:color w:val="000000"/>
          <w:sz w:val="22"/>
          <w:shd w:val="clear" w:color="auto" w:fill="FFFFFF"/>
          <w:lang w:eastAsia="zh-CN"/>
        </w:rPr>
        <w:t>Newey</w:t>
      </w:r>
      <w:proofErr w:type="spellEnd"/>
      <w:r w:rsidRPr="00F50BF3">
        <w:rPr>
          <w:rFonts w:eastAsiaTheme="minorEastAsia" w:cs="Arial"/>
          <w:color w:val="000000"/>
          <w:sz w:val="22"/>
          <w:shd w:val="clear" w:color="auto" w:fill="FFFFFF"/>
          <w:lang w:eastAsia="zh-CN"/>
        </w:rPr>
        <w:t xml:space="preserve">, W.K., Powell, J. L. (1990) “Efficient estimation of linear and type I censored regression models under conditional </w:t>
      </w:r>
      <w:proofErr w:type="spellStart"/>
      <w:r w:rsidRPr="00F50BF3">
        <w:rPr>
          <w:rFonts w:eastAsiaTheme="minorEastAsia" w:cs="Arial"/>
          <w:color w:val="000000"/>
          <w:sz w:val="22"/>
          <w:shd w:val="clear" w:color="auto" w:fill="FFFFFF"/>
          <w:lang w:eastAsia="zh-CN"/>
        </w:rPr>
        <w:t>quantile</w:t>
      </w:r>
      <w:proofErr w:type="spellEnd"/>
      <w:r w:rsidRPr="00F50BF3">
        <w:rPr>
          <w:rFonts w:eastAsiaTheme="minorEastAsia" w:cs="Arial"/>
          <w:color w:val="000000"/>
          <w:sz w:val="22"/>
          <w:shd w:val="clear" w:color="auto" w:fill="FFFFFF"/>
          <w:lang w:eastAsia="zh-CN"/>
        </w:rPr>
        <w:t xml:space="preserve"> restrictions”, Econometric theory 6(3), 295-317</w:t>
      </w:r>
    </w:p>
    <w:p w:rsidR="005D568A" w:rsidRDefault="005D568A" w:rsidP="00F874B7">
      <w:pPr>
        <w:rPr>
          <w:sz w:val="28"/>
          <w:szCs w:val="28"/>
        </w:rPr>
      </w:pPr>
      <w:r>
        <w:rPr>
          <w:sz w:val="28"/>
          <w:szCs w:val="28"/>
        </w:rPr>
        <w:br w:type="page"/>
      </w:r>
    </w:p>
    <w:p w:rsidR="005D568A" w:rsidRPr="003D62EA" w:rsidRDefault="005D568A" w:rsidP="005D568A">
      <w:pPr>
        <w:rPr>
          <w:sz w:val="28"/>
          <w:szCs w:val="28"/>
        </w:rPr>
      </w:pPr>
      <w:r w:rsidRPr="003D62EA">
        <w:rPr>
          <w:sz w:val="28"/>
          <w:szCs w:val="28"/>
        </w:rPr>
        <w:lastRenderedPageBreak/>
        <w:t xml:space="preserve">Appendix 1: MUL regions in </w:t>
      </w:r>
      <w:r w:rsidR="00F874B7">
        <w:rPr>
          <w:sz w:val="28"/>
          <w:szCs w:val="28"/>
        </w:rPr>
        <w:t xml:space="preserve">the </w:t>
      </w:r>
      <w:r w:rsidRPr="003D62EA">
        <w:rPr>
          <w:sz w:val="28"/>
          <w:szCs w:val="28"/>
        </w:rPr>
        <w:t>Auckland region</w:t>
      </w:r>
    </w:p>
    <w:p w:rsidR="005D568A" w:rsidRDefault="005D568A" w:rsidP="005D568A"/>
    <w:p w:rsidR="005D568A" w:rsidRPr="0042676F" w:rsidRDefault="005D568A" w:rsidP="005D568A">
      <w:pPr>
        <w:rPr>
          <w:sz w:val="22"/>
        </w:rPr>
      </w:pPr>
      <w:r w:rsidRPr="0042676F">
        <w:rPr>
          <w:sz w:val="22"/>
        </w:rPr>
        <w:t>Please note. Legend 1, 2, 3 and 4 in each graph represent MUL1, MUL2, MUL3 and MUL4.</w:t>
      </w:r>
    </w:p>
    <w:p w:rsidR="005D568A" w:rsidRDefault="005D568A" w:rsidP="005D568A"/>
    <w:p w:rsidR="005D568A" w:rsidRDefault="005D568A" w:rsidP="005D568A">
      <w:pPr>
        <w:rPr>
          <w:rFonts w:eastAsiaTheme="minorEastAsia"/>
          <w:sz w:val="22"/>
        </w:rPr>
      </w:pPr>
      <w:r>
        <w:rPr>
          <w:rFonts w:eastAsiaTheme="minorEastAsia"/>
          <w:noProof/>
          <w:sz w:val="22"/>
          <w:lang w:eastAsia="en-NZ"/>
        </w:rPr>
        <w:drawing>
          <wp:inline distT="0" distB="0" distL="0" distR="0" wp14:anchorId="5AB30DA0" wp14:editId="221E8FD0">
            <wp:extent cx="3661561" cy="491316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45_Raw.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1561" cy="4913160"/>
                    </a:xfrm>
                    <a:prstGeom prst="rect">
                      <a:avLst/>
                    </a:prstGeom>
                  </pic:spPr>
                </pic:pic>
              </a:graphicData>
            </a:graphic>
          </wp:inline>
        </w:drawing>
      </w:r>
    </w:p>
    <w:p w:rsidR="005D568A" w:rsidRDefault="005D568A" w:rsidP="005D568A">
      <w:pPr>
        <w:rPr>
          <w:rFonts w:eastAsiaTheme="minorEastAsia"/>
          <w:sz w:val="22"/>
        </w:rPr>
      </w:pPr>
      <w:r>
        <w:rPr>
          <w:rFonts w:eastAsiaTheme="minorEastAsia"/>
          <w:noProof/>
          <w:sz w:val="22"/>
          <w:lang w:eastAsia="en-NZ"/>
        </w:rPr>
        <w:lastRenderedPageBreak/>
        <w:drawing>
          <wp:inline distT="0" distB="0" distL="0" distR="0" wp14:anchorId="0BA04DA8" wp14:editId="1FCFDC22">
            <wp:extent cx="4797224" cy="36609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67_Raw.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7224" cy="3660905"/>
                    </a:xfrm>
                    <a:prstGeom prst="rect">
                      <a:avLst/>
                    </a:prstGeom>
                  </pic:spPr>
                </pic:pic>
              </a:graphicData>
            </a:graphic>
          </wp:inline>
        </w:drawing>
      </w:r>
    </w:p>
    <w:p w:rsidR="005D568A" w:rsidRDefault="005D568A" w:rsidP="005D568A">
      <w:pPr>
        <w:rPr>
          <w:rFonts w:eastAsiaTheme="minorEastAsia"/>
          <w:sz w:val="22"/>
        </w:rPr>
      </w:pPr>
      <w:r>
        <w:rPr>
          <w:rFonts w:eastAsiaTheme="minorEastAsia"/>
          <w:noProof/>
          <w:sz w:val="22"/>
          <w:lang w:eastAsia="en-NZ"/>
        </w:rPr>
        <w:drawing>
          <wp:inline distT="0" distB="0" distL="0" distR="0" wp14:anchorId="2939C81E" wp14:editId="28BF023D">
            <wp:extent cx="5199660" cy="36609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8910_Raw.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660" cy="3660905"/>
                    </a:xfrm>
                    <a:prstGeom prst="rect">
                      <a:avLst/>
                    </a:prstGeom>
                  </pic:spPr>
                </pic:pic>
              </a:graphicData>
            </a:graphic>
          </wp:inline>
        </w:drawing>
      </w:r>
    </w:p>
    <w:p w:rsidR="005D568A" w:rsidRDefault="005D568A" w:rsidP="005D568A">
      <w:pPr>
        <w:rPr>
          <w:rFonts w:eastAsiaTheme="minorEastAsia"/>
          <w:sz w:val="22"/>
        </w:rPr>
        <w:sectPr w:rsidR="005D568A">
          <w:pgSz w:w="11906" w:h="16838"/>
          <w:pgMar w:top="1440" w:right="1440" w:bottom="1440" w:left="1440" w:header="708" w:footer="708" w:gutter="0"/>
          <w:cols w:space="708"/>
          <w:docGrid w:linePitch="360"/>
        </w:sectPr>
      </w:pPr>
    </w:p>
    <w:tbl>
      <w:tblPr>
        <w:tblStyle w:val="LightShading"/>
        <w:tblW w:w="0" w:type="auto"/>
        <w:tblLook w:val="04A0" w:firstRow="1" w:lastRow="0" w:firstColumn="1" w:lastColumn="0" w:noHBand="0" w:noVBand="1"/>
      </w:tblPr>
      <w:tblGrid>
        <w:gridCol w:w="7309"/>
      </w:tblGrid>
      <w:tr w:rsidR="006270AA" w:rsidRPr="0042676F" w:rsidTr="006270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rsidR="006270AA" w:rsidRDefault="006270AA" w:rsidP="006270AA">
            <w:pPr>
              <w:rPr>
                <w:b w:val="0"/>
                <w:sz w:val="28"/>
                <w:szCs w:val="28"/>
              </w:rPr>
            </w:pPr>
            <w:r w:rsidRPr="003D62EA">
              <w:rPr>
                <w:b w:val="0"/>
                <w:sz w:val="28"/>
                <w:szCs w:val="28"/>
              </w:rPr>
              <w:lastRenderedPageBreak/>
              <w:t xml:space="preserve">Appendix 2: </w:t>
            </w:r>
            <w:r>
              <w:rPr>
                <w:b w:val="0"/>
                <w:sz w:val="28"/>
                <w:szCs w:val="28"/>
              </w:rPr>
              <w:t xml:space="preserve">Coefficient estimates on </w:t>
            </w:r>
            <w:proofErr w:type="spellStart"/>
            <w:r>
              <w:rPr>
                <w:b w:val="0"/>
                <w:sz w:val="28"/>
                <w:szCs w:val="28"/>
              </w:rPr>
              <w:t>quantile</w:t>
            </w:r>
            <w:proofErr w:type="spellEnd"/>
            <w:r>
              <w:rPr>
                <w:b w:val="0"/>
                <w:sz w:val="28"/>
                <w:szCs w:val="28"/>
              </w:rPr>
              <w:t xml:space="preserve"> regression</w:t>
            </w:r>
          </w:p>
          <w:p w:rsidR="006270AA" w:rsidRDefault="006270AA" w:rsidP="006270AA">
            <w:pPr>
              <w:rPr>
                <w:b w:val="0"/>
                <w:sz w:val="22"/>
              </w:rPr>
            </w:pPr>
            <w:r>
              <w:rPr>
                <w:b w:val="0"/>
                <w:sz w:val="22"/>
              </w:rPr>
              <w:t xml:space="preserve">Please note, tau represent </w:t>
            </w:r>
            <w:proofErr w:type="spellStart"/>
            <w:r>
              <w:rPr>
                <w:b w:val="0"/>
                <w:sz w:val="22"/>
              </w:rPr>
              <w:t>deciles</w:t>
            </w:r>
            <w:proofErr w:type="spellEnd"/>
            <w:r>
              <w:rPr>
                <w:b w:val="0"/>
                <w:sz w:val="22"/>
              </w:rPr>
              <w:t xml:space="preserve"> </w:t>
            </w:r>
          </w:p>
          <w:p w:rsidR="006270AA" w:rsidRPr="003D62EA" w:rsidRDefault="006270AA" w:rsidP="006270AA">
            <w:pPr>
              <w:rPr>
                <w:b w:val="0"/>
                <w:sz w:val="22"/>
              </w:rPr>
            </w:pPr>
            <w:r>
              <w:rPr>
                <w:b w:val="0"/>
                <w:sz w:val="22"/>
              </w:rPr>
              <w:t>*** p&lt;0.01, **p&lt;0.05, * p&lt;0.1</w:t>
            </w:r>
          </w:p>
        </w:tc>
      </w:tr>
    </w:tbl>
    <w:tbl>
      <w:tblPr>
        <w:tblW w:w="5000" w:type="pct"/>
        <w:tblLook w:val="04A0" w:firstRow="1" w:lastRow="0" w:firstColumn="1" w:lastColumn="0" w:noHBand="0" w:noVBand="1"/>
      </w:tblPr>
      <w:tblGrid>
        <w:gridCol w:w="639"/>
        <w:gridCol w:w="40"/>
        <w:gridCol w:w="779"/>
        <w:gridCol w:w="36"/>
        <w:gridCol w:w="782"/>
        <w:gridCol w:w="33"/>
        <w:gridCol w:w="785"/>
        <w:gridCol w:w="30"/>
        <w:gridCol w:w="788"/>
        <w:gridCol w:w="27"/>
        <w:gridCol w:w="791"/>
        <w:gridCol w:w="24"/>
        <w:gridCol w:w="794"/>
        <w:gridCol w:w="21"/>
        <w:gridCol w:w="797"/>
        <w:gridCol w:w="18"/>
        <w:gridCol w:w="800"/>
        <w:gridCol w:w="15"/>
        <w:gridCol w:w="803"/>
        <w:gridCol w:w="15"/>
        <w:gridCol w:w="803"/>
        <w:gridCol w:w="12"/>
        <w:gridCol w:w="806"/>
        <w:gridCol w:w="9"/>
        <w:gridCol w:w="815"/>
        <w:gridCol w:w="815"/>
        <w:gridCol w:w="815"/>
        <w:gridCol w:w="815"/>
        <w:gridCol w:w="815"/>
        <w:gridCol w:w="815"/>
        <w:gridCol w:w="815"/>
      </w:tblGrid>
      <w:tr w:rsidR="006270AA" w:rsidRPr="006956E9" w:rsidTr="006270AA">
        <w:trPr>
          <w:trHeight w:val="300"/>
        </w:trPr>
        <w:tc>
          <w:tcPr>
            <w:tcW w:w="222" w:type="pct"/>
            <w:gridSpan w:val="2"/>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389" w:type="pct"/>
            <w:gridSpan w:val="18"/>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1995</w:t>
            </w:r>
          </w:p>
        </w:tc>
        <w:tc>
          <w:tcPr>
            <w:tcW w:w="2389" w:type="pct"/>
            <w:gridSpan w:val="11"/>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1998</w:t>
            </w:r>
          </w:p>
        </w:tc>
      </w:tr>
      <w:tr w:rsidR="006270AA" w:rsidRPr="006956E9" w:rsidTr="006270AA">
        <w:trPr>
          <w:trHeight w:val="300"/>
        </w:trPr>
        <w:tc>
          <w:tcPr>
            <w:tcW w:w="2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65" w:type="pct"/>
            <w:gridSpan w:val="2"/>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0.6</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5" w:type="pct"/>
            <w:gridSpan w:val="2"/>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0.9</w:t>
            </w:r>
          </w:p>
        </w:tc>
        <w:tc>
          <w:tcPr>
            <w:tcW w:w="265" w:type="pct"/>
            <w:gridSpan w:val="2"/>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5"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0.6</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5"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0.9</w:t>
            </w:r>
          </w:p>
        </w:tc>
      </w:tr>
      <w:tr w:rsidR="006270AA" w:rsidRPr="006956E9" w:rsidTr="006270AA">
        <w:trPr>
          <w:trHeight w:val="300"/>
        </w:trPr>
        <w:tc>
          <w:tcPr>
            <w:tcW w:w="222" w:type="pct"/>
            <w:gridSpan w:val="2"/>
            <w:tcBorders>
              <w:top w:val="single" w:sz="4" w:space="0" w:color="auto"/>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tla1</w:t>
            </w:r>
          </w:p>
        </w:tc>
        <w:tc>
          <w:tcPr>
            <w:tcW w:w="265" w:type="pct"/>
            <w:gridSpan w:val="2"/>
            <w:tcBorders>
              <w:top w:val="single" w:sz="4" w:space="0" w:color="auto"/>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-0.79</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-0.77</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-0.87</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-0.92</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-1.01</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-0.98</w:t>
            </w:r>
            <w:r>
              <w:rPr>
                <w:rFonts w:eastAsiaTheme="minorEastAsia" w:cs="Calibri" w:hint="eastAsia"/>
                <w:color w:val="000000"/>
                <w:sz w:val="16"/>
                <w:szCs w:val="16"/>
                <w:lang w:eastAsia="zh-CN"/>
              </w:rPr>
              <w:t>***</w:t>
            </w:r>
          </w:p>
        </w:tc>
        <w:tc>
          <w:tcPr>
            <w:tcW w:w="265" w:type="pct"/>
            <w:gridSpan w:val="2"/>
            <w:tcBorders>
              <w:top w:val="single" w:sz="4" w:space="0" w:color="auto"/>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-0.43</w:t>
            </w:r>
            <w:r>
              <w:rPr>
                <w:rFonts w:eastAsiaTheme="minorEastAsia" w:cs="Calibri" w:hint="eastAsia"/>
                <w:color w:val="000000"/>
                <w:sz w:val="16"/>
                <w:szCs w:val="16"/>
                <w:lang w:eastAsia="zh-CN"/>
              </w:rPr>
              <w:t>***</w:t>
            </w:r>
          </w:p>
        </w:tc>
        <w:tc>
          <w:tcPr>
            <w:tcW w:w="265" w:type="pct"/>
            <w:gridSpan w:val="2"/>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-0.45</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-0.53</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-0.64</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-0.75</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-0.89</w:t>
            </w:r>
            <w:r>
              <w:rPr>
                <w:rFonts w:eastAsiaTheme="minorEastAsia" w:cs="Calibri" w:hint="eastAsia"/>
                <w:color w:val="000000"/>
                <w:sz w:val="16"/>
                <w:szCs w:val="16"/>
                <w:lang w:eastAsia="zh-CN"/>
              </w:rPr>
              <w:t>***</w:t>
            </w:r>
          </w:p>
        </w:tc>
        <w:tc>
          <w:tcPr>
            <w:tcW w:w="265"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-1.05</w:t>
            </w:r>
            <w:r>
              <w:rPr>
                <w:rFonts w:eastAsiaTheme="minorEastAsia" w:cs="Calibri" w:hint="eastAsia"/>
                <w:color w:val="000000"/>
                <w:sz w:val="16"/>
                <w:szCs w:val="16"/>
                <w:lang w:eastAsia="zh-CN"/>
              </w:rPr>
              <w:t>***</w:t>
            </w:r>
          </w:p>
        </w:tc>
        <w:tc>
          <w:tcPr>
            <w:tcW w:w="265" w:type="pct"/>
            <w:tcBorders>
              <w:top w:val="single" w:sz="4" w:space="0" w:color="auto"/>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-1.24</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tla2</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0.04</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0.00</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5" w:type="pct"/>
            <w:gridSpan w:val="2"/>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0.19</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0.08</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-0.20</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-0.29</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tla3</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-0.61</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-0.59</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-0.71</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-0.96</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-0.50</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-0.54</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-0.58</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-0.66</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-0.76</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-0.87</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-1.05</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tla5</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-0.39</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-0.61</w:t>
            </w:r>
            <w:r>
              <w:rPr>
                <w:rFonts w:eastAsiaTheme="minorEastAsia" w:cs="Calibri" w:hint="eastAsia"/>
                <w:color w:val="000000"/>
                <w:sz w:val="16"/>
                <w:szCs w:val="16"/>
                <w:lang w:eastAsia="zh-CN"/>
              </w:rPr>
              <w:t>***</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-0.70</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-0.24</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-0.46</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-0.90</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-1.13</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tla6</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-0.51</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-0.54</w:t>
            </w:r>
            <w:r>
              <w:rPr>
                <w:rFonts w:eastAsiaTheme="minorEastAsia" w:cs="Calibri" w:hint="eastAsia"/>
                <w:color w:val="000000"/>
                <w:sz w:val="16"/>
                <w:szCs w:val="16"/>
                <w:lang w:eastAsia="zh-CN"/>
              </w:rPr>
              <w:t>***</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-0.57</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-0.61</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-0.74</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-0.82</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-0.97</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-1.23</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tla7</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-0.16</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-0.24</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-0.26</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-0.48</w:t>
            </w:r>
            <w:r>
              <w:rPr>
                <w:rFonts w:eastAsiaTheme="minorEastAsia" w:cs="Calibri" w:hint="eastAsia"/>
                <w:color w:val="000000"/>
                <w:sz w:val="16"/>
                <w:szCs w:val="16"/>
                <w:lang w:eastAsia="zh-CN"/>
              </w:rPr>
              <w:t>***</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-0.44</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0.07</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-0.20</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-0.23</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-0.53</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-0.57</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-0.90</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MUL2</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-0.11</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-0.09</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-0.08</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-0.10</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-0.16</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-0.14</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-0.07</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0.00</w:t>
            </w:r>
          </w:p>
        </w:tc>
        <w:tc>
          <w:tcPr>
            <w:tcW w:w="265"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5" w:type="pct"/>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r>
      <w:tr w:rsidR="006270AA" w:rsidRPr="006956E9" w:rsidTr="006270AA">
        <w:trPr>
          <w:trHeight w:val="300"/>
        </w:trPr>
        <w:tc>
          <w:tcPr>
            <w:tcW w:w="222" w:type="pct"/>
            <w:gridSpan w:val="2"/>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MUL3</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-2.09</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-1.93</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-1.57</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-1.30</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-0.95</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-0.54</w:t>
            </w:r>
            <w:r>
              <w:rPr>
                <w:rFonts w:eastAsiaTheme="minorEastAsia" w:cs="Calibri" w:hint="eastAsia"/>
                <w:color w:val="000000"/>
                <w:sz w:val="16"/>
                <w:szCs w:val="16"/>
                <w:lang w:eastAsia="zh-CN"/>
              </w:rPr>
              <w:t>***</w:t>
            </w:r>
          </w:p>
        </w:tc>
        <w:tc>
          <w:tcPr>
            <w:tcW w:w="265" w:type="pct"/>
            <w:gridSpan w:val="2"/>
            <w:tcBorders>
              <w:top w:val="nil"/>
              <w:left w:val="nil"/>
              <w:bottom w:val="nil"/>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-2.18</w:t>
            </w:r>
            <w:r>
              <w:rPr>
                <w:rFonts w:eastAsiaTheme="minorEastAsia" w:cs="Calibri" w:hint="eastAsia"/>
                <w:color w:val="000000"/>
                <w:sz w:val="16"/>
                <w:szCs w:val="16"/>
                <w:lang w:eastAsia="zh-CN"/>
              </w:rPr>
              <w:t>***</w:t>
            </w:r>
          </w:p>
        </w:tc>
        <w:tc>
          <w:tcPr>
            <w:tcW w:w="265" w:type="pct"/>
            <w:gridSpan w:val="2"/>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-2.00</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-1.88</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-1.73</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-1.54</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-1.15</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-0.79</w:t>
            </w:r>
            <w:r>
              <w:rPr>
                <w:rFonts w:eastAsiaTheme="minorEastAsia" w:cs="Calibri" w:hint="eastAsia"/>
                <w:color w:val="000000"/>
                <w:sz w:val="16"/>
                <w:szCs w:val="16"/>
                <w:lang w:eastAsia="zh-CN"/>
              </w:rPr>
              <w:t>***</w:t>
            </w:r>
          </w:p>
        </w:tc>
        <w:tc>
          <w:tcPr>
            <w:tcW w:w="265"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5"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-0.35</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nil"/>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Pr>
                <w:rFonts w:eastAsia="Times New Roman" w:cs="Calibri"/>
                <w:color w:val="000000"/>
                <w:sz w:val="16"/>
                <w:szCs w:val="16"/>
                <w:lang w:eastAsia="en-NZ"/>
              </w:rPr>
              <w:t>MUL4</w:t>
            </w:r>
          </w:p>
        </w:tc>
        <w:tc>
          <w:tcPr>
            <w:tcW w:w="265" w:type="pct"/>
            <w:gridSpan w:val="2"/>
            <w:tcBorders>
              <w:top w:val="nil"/>
              <w:left w:val="single" w:sz="4" w:space="0" w:color="auto"/>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-2.20</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-2.16</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-1.93</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-1.85</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-1.60</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-1.30</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-0.91</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single" w:sz="4" w:space="0" w:color="auto"/>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-0.86</w:t>
            </w:r>
            <w:r>
              <w:rPr>
                <w:rFonts w:eastAsiaTheme="minorEastAsia" w:cs="Calibri" w:hint="eastAsia"/>
                <w:color w:val="000000"/>
                <w:sz w:val="16"/>
                <w:szCs w:val="16"/>
                <w:lang w:eastAsia="zh-CN"/>
              </w:rPr>
              <w:t>***</w:t>
            </w:r>
          </w:p>
        </w:tc>
        <w:tc>
          <w:tcPr>
            <w:tcW w:w="265" w:type="pct"/>
            <w:gridSpan w:val="2"/>
            <w:tcBorders>
              <w:top w:val="nil"/>
              <w:left w:val="single" w:sz="4" w:space="0" w:color="auto"/>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-2.19</w:t>
            </w:r>
            <w:r>
              <w:rPr>
                <w:rFonts w:eastAsiaTheme="minorEastAsia" w:cs="Calibri" w:hint="eastAsia"/>
                <w:color w:val="000000"/>
                <w:sz w:val="16"/>
                <w:szCs w:val="16"/>
                <w:lang w:eastAsia="zh-CN"/>
              </w:rPr>
              <w:t>***</w:t>
            </w:r>
          </w:p>
        </w:tc>
        <w:tc>
          <w:tcPr>
            <w:tcW w:w="265" w:type="pct"/>
            <w:gridSpan w:val="2"/>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-2.08</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6F68EE"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-1.84</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-1.71</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-1.39</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-1.08</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5"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-0.76</w:t>
            </w:r>
            <w:r>
              <w:rPr>
                <w:rFonts w:eastAsiaTheme="minorEastAsia" w:cs="Calibri" w:hint="eastAsia"/>
                <w:color w:val="000000"/>
                <w:sz w:val="16"/>
                <w:szCs w:val="16"/>
                <w:lang w:eastAsia="zh-CN"/>
              </w:rPr>
              <w:t>***</w:t>
            </w:r>
          </w:p>
        </w:tc>
        <w:tc>
          <w:tcPr>
            <w:tcW w:w="265" w:type="pct"/>
            <w:tcBorders>
              <w:top w:val="nil"/>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-0.72</w:t>
            </w:r>
            <w:r>
              <w:rPr>
                <w:rFonts w:eastAsiaTheme="minorEastAsia" w:cs="Calibri" w:hint="eastAsia"/>
                <w:color w:val="000000"/>
                <w:sz w:val="16"/>
                <w:szCs w:val="16"/>
                <w:lang w:eastAsia="zh-CN"/>
              </w:rPr>
              <w:t>***</w:t>
            </w:r>
          </w:p>
        </w:tc>
      </w:tr>
      <w:tr w:rsidR="006270AA" w:rsidRPr="006956E9" w:rsidTr="006270AA">
        <w:trPr>
          <w:trHeight w:val="300"/>
        </w:trPr>
        <w:tc>
          <w:tcPr>
            <w:tcW w:w="222" w:type="pct"/>
            <w:gridSpan w:val="2"/>
            <w:tcBorders>
              <w:top w:val="single" w:sz="4" w:space="0" w:color="auto"/>
              <w:left w:val="nil"/>
              <w:bottom w:val="single" w:sz="4" w:space="0" w:color="auto"/>
              <w:right w:val="nil"/>
            </w:tcBorders>
            <w:shd w:val="clear" w:color="auto" w:fill="auto"/>
            <w:noWrap/>
            <w:vAlign w:val="bottom"/>
          </w:tcPr>
          <w:p w:rsidR="006270AA" w:rsidRDefault="006270AA" w:rsidP="006270AA">
            <w:pPr>
              <w:rPr>
                <w:rFonts w:eastAsia="Times New Roman" w:cs="Calibri"/>
                <w:color w:val="000000"/>
                <w:sz w:val="16"/>
                <w:szCs w:val="16"/>
                <w:lang w:eastAsia="en-NZ"/>
              </w:rPr>
            </w:pPr>
          </w:p>
          <w:p w:rsidR="006270AA" w:rsidRPr="006956E9" w:rsidRDefault="006270AA" w:rsidP="006270AA">
            <w:pPr>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gridSpan w:val="2"/>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c>
          <w:tcPr>
            <w:tcW w:w="265" w:type="pct"/>
            <w:tcBorders>
              <w:top w:val="single" w:sz="4" w:space="0" w:color="auto"/>
              <w:left w:val="nil"/>
              <w:bottom w:val="single" w:sz="4" w:space="0" w:color="auto"/>
              <w:right w:val="nil"/>
            </w:tcBorders>
            <w:shd w:val="clear" w:color="auto" w:fill="auto"/>
            <w:noWrap/>
            <w:vAlign w:val="bottom"/>
          </w:tcPr>
          <w:p w:rsidR="006270AA" w:rsidRPr="006956E9" w:rsidRDefault="006270AA" w:rsidP="006270AA">
            <w:pPr>
              <w:jc w:val="right"/>
              <w:rPr>
                <w:rFonts w:eastAsia="Times New Roman" w:cs="Calibri"/>
                <w:color w:val="000000"/>
                <w:sz w:val="16"/>
                <w:szCs w:val="16"/>
                <w:lang w:eastAsia="en-NZ"/>
              </w:rPr>
            </w:pPr>
          </w:p>
        </w:tc>
      </w:tr>
      <w:tr w:rsidR="006270AA" w:rsidRPr="006956E9" w:rsidTr="006270AA">
        <w:trPr>
          <w:trHeight w:val="300"/>
        </w:trPr>
        <w:tc>
          <w:tcPr>
            <w:tcW w:w="209" w:type="pct"/>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396" w:type="pct"/>
            <w:gridSpan w:val="18"/>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2001</w:t>
            </w:r>
          </w:p>
        </w:tc>
        <w:tc>
          <w:tcPr>
            <w:tcW w:w="2395" w:type="pct"/>
            <w:gridSpan w:val="12"/>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2004</w:t>
            </w:r>
          </w:p>
        </w:tc>
      </w:tr>
      <w:tr w:rsidR="006270AA" w:rsidRPr="006956E9" w:rsidTr="006270AA">
        <w:trPr>
          <w:trHeight w:val="30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66" w:type="pct"/>
            <w:gridSpan w:val="2"/>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0.6</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9" w:type="pct"/>
            <w:gridSpan w:val="2"/>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0.9</w:t>
            </w:r>
          </w:p>
        </w:tc>
        <w:tc>
          <w:tcPr>
            <w:tcW w:w="266" w:type="pct"/>
            <w:gridSpan w:val="2"/>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6" w:type="pct"/>
            <w:gridSpan w:val="2"/>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tau= 0.6</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0.9</w:t>
            </w:r>
          </w:p>
        </w:tc>
      </w:tr>
      <w:tr w:rsidR="006270AA" w:rsidRPr="006956E9" w:rsidTr="006270AA">
        <w:trPr>
          <w:trHeight w:val="300"/>
        </w:trPr>
        <w:tc>
          <w:tcPr>
            <w:tcW w:w="209" w:type="pct"/>
            <w:tcBorders>
              <w:top w:val="single" w:sz="4" w:space="0" w:color="auto"/>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tla1</w:t>
            </w:r>
          </w:p>
        </w:tc>
        <w:tc>
          <w:tcPr>
            <w:tcW w:w="266" w:type="pct"/>
            <w:gridSpan w:val="2"/>
            <w:tcBorders>
              <w:top w:val="single" w:sz="4" w:space="0" w:color="auto"/>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-0.87</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-0.89</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-0.88</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-0.92</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-0.98</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-1.07</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-1.19</w:t>
            </w:r>
            <w:r>
              <w:rPr>
                <w:rFonts w:eastAsiaTheme="minorEastAsia" w:cs="Calibri" w:hint="eastAsia"/>
                <w:color w:val="000000"/>
                <w:sz w:val="16"/>
                <w:szCs w:val="16"/>
                <w:lang w:eastAsia="zh-CN"/>
              </w:rPr>
              <w:t>***</w:t>
            </w:r>
          </w:p>
        </w:tc>
        <w:tc>
          <w:tcPr>
            <w:tcW w:w="269" w:type="pct"/>
            <w:gridSpan w:val="2"/>
            <w:tcBorders>
              <w:top w:val="single" w:sz="4" w:space="0" w:color="auto"/>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-1.22</w:t>
            </w:r>
            <w:r>
              <w:rPr>
                <w:rFonts w:eastAsiaTheme="minorEastAsia" w:cs="Calibri" w:hint="eastAsia"/>
                <w:color w:val="000000"/>
                <w:sz w:val="16"/>
                <w:szCs w:val="16"/>
                <w:lang w:eastAsia="zh-CN"/>
              </w:rPr>
              <w:t>***</w:t>
            </w:r>
          </w:p>
        </w:tc>
        <w:tc>
          <w:tcPr>
            <w:tcW w:w="266" w:type="pct"/>
            <w:gridSpan w:val="2"/>
            <w:tcBorders>
              <w:top w:val="single" w:sz="4" w:space="0" w:color="auto"/>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-0.97</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-1.11</w:t>
            </w:r>
            <w:r>
              <w:rPr>
                <w:rFonts w:eastAsiaTheme="minorEastAsia" w:cs="Calibri" w:hint="eastAsia"/>
                <w:color w:val="000000"/>
                <w:sz w:val="16"/>
                <w:szCs w:val="16"/>
                <w:lang w:eastAsia="zh-CN"/>
              </w:rPr>
              <w:t>***</w:t>
            </w:r>
          </w:p>
        </w:tc>
        <w:tc>
          <w:tcPr>
            <w:tcW w:w="266" w:type="pct"/>
            <w:gridSpan w:val="2"/>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-1.15</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-1.18</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-1.25</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-1.34</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-1.44</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-1.61</w:t>
            </w:r>
            <w:r>
              <w:rPr>
                <w:rFonts w:eastAsiaTheme="minorEastAsia" w:cs="Calibri" w:hint="eastAsia"/>
                <w:color w:val="000000"/>
                <w:sz w:val="16"/>
                <w:szCs w:val="16"/>
                <w:lang w:eastAsia="zh-CN"/>
              </w:rPr>
              <w:t>***</w:t>
            </w:r>
          </w:p>
        </w:tc>
        <w:tc>
          <w:tcPr>
            <w:tcW w:w="266" w:type="pct"/>
            <w:tcBorders>
              <w:top w:val="single" w:sz="4" w:space="0" w:color="auto"/>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-1.61</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tla2</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-0.48</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-0.50</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-0.59</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-0.73</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-0.73</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tla3</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-0.88</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-0.85</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-0.90</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-0.91</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-0.95</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-1.02</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-1.15</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-1.29</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-1.39</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tla5</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-0.84</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-0.79</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-0.99</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-1.06</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-1.07</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-0.93</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-1.05</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tla6</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-0.75</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-0.76</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-0.75</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-0.64</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-0.80</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-0.93</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tla7</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-0.30</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-0.25</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-0.19</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-0.50</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-0.76</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MUL2</w:t>
            </w:r>
          </w:p>
        </w:tc>
        <w:tc>
          <w:tcPr>
            <w:tcW w:w="266" w:type="pct"/>
            <w:gridSpan w:val="2"/>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-0.09</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gridSpan w:val="2"/>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9" w:type="pct"/>
            <w:gridSpan w:val="2"/>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gridSpan w:val="2"/>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-0.09</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-0.05</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-0.06</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-0.06</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c>
          <w:tcPr>
            <w:tcW w:w="266" w:type="pct"/>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MUL3</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-2.28</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-1.97</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-1.81</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-1.53</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-1.22</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-0.74</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-0.40</w:t>
            </w:r>
            <w:r>
              <w:rPr>
                <w:rFonts w:eastAsiaTheme="minorEastAsia" w:cs="Calibri" w:hint="eastAsia"/>
                <w:color w:val="000000"/>
                <w:sz w:val="16"/>
                <w:szCs w:val="16"/>
                <w:lang w:eastAsia="zh-CN"/>
              </w:rPr>
              <w:t>***</w:t>
            </w:r>
          </w:p>
        </w:tc>
        <w:tc>
          <w:tcPr>
            <w:tcW w:w="269" w:type="pct"/>
            <w:gridSpan w:val="2"/>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-0.35</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-2.29</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-2.18</w:t>
            </w:r>
            <w:r>
              <w:rPr>
                <w:rFonts w:eastAsiaTheme="minorEastAsia" w:cs="Calibri" w:hint="eastAsia"/>
                <w:color w:val="000000"/>
                <w:sz w:val="16"/>
                <w:szCs w:val="16"/>
                <w:lang w:eastAsia="zh-CN"/>
              </w:rPr>
              <w:t>***</w:t>
            </w:r>
          </w:p>
        </w:tc>
        <w:tc>
          <w:tcPr>
            <w:tcW w:w="266" w:type="pct"/>
            <w:gridSpan w:val="2"/>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-0.41</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-0.29</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Pr>
                <w:rFonts w:eastAsia="Times New Roman" w:cs="Calibri"/>
                <w:color w:val="000000"/>
                <w:sz w:val="16"/>
                <w:szCs w:val="16"/>
                <w:lang w:eastAsia="en-NZ"/>
              </w:rPr>
              <w:t>MUL4</w:t>
            </w:r>
          </w:p>
        </w:tc>
        <w:tc>
          <w:tcPr>
            <w:tcW w:w="266" w:type="pct"/>
            <w:gridSpan w:val="2"/>
            <w:tcBorders>
              <w:top w:val="nil"/>
              <w:left w:val="single" w:sz="4" w:space="0" w:color="auto"/>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-2.26</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-2.13</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-1.99</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-1.83</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-1.64</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-1.28</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-0.94</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-0.72</w:t>
            </w:r>
            <w:r>
              <w:rPr>
                <w:rFonts w:eastAsiaTheme="minorEastAsia" w:cs="Calibri" w:hint="eastAsia"/>
                <w:color w:val="000000"/>
                <w:sz w:val="16"/>
                <w:szCs w:val="16"/>
                <w:lang w:eastAsia="zh-CN"/>
              </w:rPr>
              <w:t>***</w:t>
            </w:r>
          </w:p>
        </w:tc>
        <w:tc>
          <w:tcPr>
            <w:tcW w:w="269" w:type="pct"/>
            <w:gridSpan w:val="2"/>
            <w:tcBorders>
              <w:top w:val="nil"/>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-0.57</w:t>
            </w:r>
            <w:r>
              <w:rPr>
                <w:rFonts w:eastAsiaTheme="minorEastAsia" w:cs="Calibri" w:hint="eastAsia"/>
                <w:color w:val="000000"/>
                <w:sz w:val="16"/>
                <w:szCs w:val="16"/>
                <w:lang w:eastAsia="zh-CN"/>
              </w:rPr>
              <w:t>***</w:t>
            </w:r>
          </w:p>
        </w:tc>
        <w:tc>
          <w:tcPr>
            <w:tcW w:w="266" w:type="pct"/>
            <w:gridSpan w:val="2"/>
            <w:tcBorders>
              <w:top w:val="nil"/>
              <w:left w:val="single" w:sz="4" w:space="0" w:color="auto"/>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-2.44</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-2.17</w:t>
            </w:r>
            <w:r>
              <w:rPr>
                <w:rFonts w:eastAsiaTheme="minorEastAsia" w:cs="Calibri" w:hint="eastAsia"/>
                <w:color w:val="000000"/>
                <w:sz w:val="16"/>
                <w:szCs w:val="16"/>
                <w:lang w:eastAsia="zh-CN"/>
              </w:rPr>
              <w:t>***</w:t>
            </w:r>
          </w:p>
        </w:tc>
        <w:tc>
          <w:tcPr>
            <w:tcW w:w="266" w:type="pct"/>
            <w:gridSpan w:val="2"/>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-2.03</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-1.66</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-1.34</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-0.92</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-0.73</w:t>
            </w:r>
            <w:r>
              <w:rPr>
                <w:rFonts w:eastAsiaTheme="minorEastAsia" w:cs="Calibri" w:hint="eastAsia"/>
                <w:color w:val="000000"/>
                <w:sz w:val="16"/>
                <w:szCs w:val="16"/>
                <w:lang w:eastAsia="zh-CN"/>
              </w:rPr>
              <w:t>***</w:t>
            </w:r>
          </w:p>
        </w:tc>
        <w:tc>
          <w:tcPr>
            <w:tcW w:w="266" w:type="pct"/>
            <w:tcBorders>
              <w:top w:val="nil"/>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r>
    </w:tbl>
    <w:p w:rsidR="006270AA" w:rsidRDefault="006270AA" w:rsidP="006270AA">
      <w:pPr>
        <w:spacing w:after="200" w:line="276" w:lineRule="auto"/>
      </w:pPr>
    </w:p>
    <w:p w:rsidR="006270AA" w:rsidRDefault="006270AA" w:rsidP="006270AA">
      <w:pPr>
        <w:spacing w:after="200" w:line="276" w:lineRule="auto"/>
      </w:pPr>
    </w:p>
    <w:p w:rsidR="006270AA" w:rsidRDefault="006270AA" w:rsidP="006270AA">
      <w:pPr>
        <w:spacing w:after="200" w:line="276" w:lineRule="auto"/>
      </w:pPr>
    </w:p>
    <w:p w:rsidR="006270AA" w:rsidRDefault="006270AA" w:rsidP="006270AA">
      <w:pPr>
        <w:spacing w:after="200" w:line="276" w:lineRule="auto"/>
      </w:pPr>
    </w:p>
    <w:tbl>
      <w:tblPr>
        <w:tblW w:w="5000" w:type="pct"/>
        <w:tblLook w:val="04A0" w:firstRow="1" w:lastRow="0" w:firstColumn="1" w:lastColumn="0" w:noHBand="0" w:noVBand="1"/>
      </w:tblPr>
      <w:tblGrid>
        <w:gridCol w:w="641"/>
        <w:gridCol w:w="816"/>
        <w:gridCol w:w="816"/>
        <w:gridCol w:w="816"/>
        <w:gridCol w:w="816"/>
        <w:gridCol w:w="817"/>
        <w:gridCol w:w="817"/>
        <w:gridCol w:w="817"/>
        <w:gridCol w:w="817"/>
        <w:gridCol w:w="826"/>
        <w:gridCol w:w="817"/>
        <w:gridCol w:w="817"/>
        <w:gridCol w:w="817"/>
        <w:gridCol w:w="817"/>
        <w:gridCol w:w="817"/>
        <w:gridCol w:w="817"/>
        <w:gridCol w:w="817"/>
        <w:gridCol w:w="817"/>
        <w:gridCol w:w="817"/>
      </w:tblGrid>
      <w:tr w:rsidR="006270AA" w:rsidRPr="006956E9" w:rsidTr="006270AA">
        <w:trPr>
          <w:trHeight w:val="300"/>
        </w:trPr>
        <w:tc>
          <w:tcPr>
            <w:tcW w:w="209" w:type="pct"/>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397" w:type="pct"/>
            <w:gridSpan w:val="9"/>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2007</w:t>
            </w:r>
          </w:p>
        </w:tc>
        <w:tc>
          <w:tcPr>
            <w:tcW w:w="2395" w:type="pct"/>
            <w:gridSpan w:val="9"/>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jc w:val="center"/>
              <w:rPr>
                <w:rFonts w:eastAsia="Times New Roman" w:cs="Calibri"/>
                <w:color w:val="000000"/>
                <w:sz w:val="16"/>
                <w:szCs w:val="16"/>
                <w:lang w:eastAsia="en-NZ"/>
              </w:rPr>
            </w:pPr>
            <w:r w:rsidRPr="006956E9">
              <w:rPr>
                <w:rFonts w:eastAsia="Times New Roman" w:cs="Calibri"/>
                <w:color w:val="000000"/>
                <w:sz w:val="16"/>
                <w:szCs w:val="16"/>
                <w:lang w:eastAsia="en-NZ"/>
              </w:rPr>
              <w:t>2010</w:t>
            </w:r>
          </w:p>
        </w:tc>
      </w:tr>
      <w:tr w:rsidR="006270AA" w:rsidRPr="006956E9" w:rsidTr="006270AA">
        <w:trPr>
          <w:trHeight w:val="30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p>
        </w:tc>
        <w:tc>
          <w:tcPr>
            <w:tcW w:w="266" w:type="pct"/>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0.6</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tau= 0.9</w:t>
            </w:r>
          </w:p>
        </w:tc>
        <w:tc>
          <w:tcPr>
            <w:tcW w:w="266" w:type="pct"/>
            <w:tcBorders>
              <w:top w:val="single" w:sz="4" w:space="0" w:color="auto"/>
              <w:left w:val="single" w:sz="4" w:space="0" w:color="auto"/>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0.1</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0.2</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0.3</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0.4</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0.5</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0.6</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0.7</w:t>
            </w:r>
          </w:p>
        </w:tc>
        <w:tc>
          <w:tcPr>
            <w:tcW w:w="266" w:type="pct"/>
            <w:tcBorders>
              <w:top w:val="single" w:sz="4" w:space="0" w:color="auto"/>
              <w:left w:val="nil"/>
              <w:bottom w:val="single" w:sz="4" w:space="0" w:color="auto"/>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0.8</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tau= 0.9</w:t>
            </w:r>
          </w:p>
        </w:tc>
      </w:tr>
      <w:tr w:rsidR="006270AA" w:rsidRPr="006956E9" w:rsidTr="006270AA">
        <w:trPr>
          <w:trHeight w:val="300"/>
        </w:trPr>
        <w:tc>
          <w:tcPr>
            <w:tcW w:w="209" w:type="pct"/>
            <w:tcBorders>
              <w:top w:val="single" w:sz="4" w:space="0" w:color="auto"/>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tla1</w:t>
            </w:r>
          </w:p>
        </w:tc>
        <w:tc>
          <w:tcPr>
            <w:tcW w:w="266" w:type="pct"/>
            <w:tcBorders>
              <w:top w:val="single" w:sz="4" w:space="0" w:color="auto"/>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-0.98</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-1.09</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-1.12</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-1.12</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-1.13</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-1.25</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-1.29</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-1.34</w:t>
            </w:r>
            <w:r>
              <w:rPr>
                <w:rFonts w:eastAsiaTheme="minorEastAsia" w:cs="Calibri" w:hint="eastAsia"/>
                <w:color w:val="000000"/>
                <w:sz w:val="16"/>
                <w:szCs w:val="16"/>
                <w:lang w:eastAsia="zh-CN"/>
              </w:rPr>
              <w:t>***</w:t>
            </w:r>
          </w:p>
        </w:tc>
        <w:tc>
          <w:tcPr>
            <w:tcW w:w="266" w:type="pct"/>
            <w:tcBorders>
              <w:top w:val="single" w:sz="4" w:space="0" w:color="auto"/>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-1.46</w:t>
            </w:r>
            <w:r>
              <w:rPr>
                <w:rFonts w:eastAsiaTheme="minorEastAsia" w:cs="Calibri" w:hint="eastAsia"/>
                <w:color w:val="000000"/>
                <w:sz w:val="16"/>
                <w:szCs w:val="16"/>
                <w:lang w:eastAsia="zh-CN"/>
              </w:rPr>
              <w:t>***</w:t>
            </w:r>
          </w:p>
        </w:tc>
        <w:tc>
          <w:tcPr>
            <w:tcW w:w="266" w:type="pct"/>
            <w:tcBorders>
              <w:top w:val="single" w:sz="4" w:space="0" w:color="auto"/>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-0.74</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-0.78</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-0.79</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-0.77</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-0.88</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-0.90</w:t>
            </w:r>
            <w:r>
              <w:rPr>
                <w:rFonts w:eastAsiaTheme="minorEastAsia" w:cs="Calibri" w:hint="eastAsia"/>
                <w:color w:val="000000"/>
                <w:sz w:val="16"/>
                <w:szCs w:val="16"/>
                <w:lang w:eastAsia="zh-CN"/>
              </w:rPr>
              <w:t>***</w:t>
            </w:r>
          </w:p>
        </w:tc>
        <w:tc>
          <w:tcPr>
            <w:tcW w:w="266" w:type="pct"/>
            <w:tcBorders>
              <w:top w:val="single" w:sz="4" w:space="0" w:color="auto"/>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-1.03</w:t>
            </w:r>
            <w:r>
              <w:rPr>
                <w:rFonts w:eastAsiaTheme="minorEastAsia" w:cs="Calibri" w:hint="eastAsia"/>
                <w:color w:val="000000"/>
                <w:sz w:val="16"/>
                <w:szCs w:val="16"/>
                <w:lang w:eastAsia="zh-CN"/>
              </w:rPr>
              <w:t>***</w:t>
            </w:r>
          </w:p>
        </w:tc>
        <w:tc>
          <w:tcPr>
            <w:tcW w:w="266" w:type="pct"/>
            <w:tcBorders>
              <w:top w:val="single" w:sz="4" w:space="0" w:color="auto"/>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-1.20</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tla2</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-0.48</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-0.50</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-0.46</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-0.51</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tla3</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-1.26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-1.31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-1.40</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-1.59</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-0.69</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-0.83</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tla5</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-0.51</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-0.54</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-0.54</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tla6</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-0.53</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-0.52</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-0.67</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-0.68</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-0.71</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tla7</w:t>
            </w:r>
          </w:p>
        </w:tc>
        <w:tc>
          <w:tcPr>
            <w:tcW w:w="266" w:type="pct"/>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0.16</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-0.15</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-0.22</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-0.25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-0.14</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0.00</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-0.12</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-0.33</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MUL2</w:t>
            </w:r>
          </w:p>
        </w:tc>
        <w:tc>
          <w:tcPr>
            <w:tcW w:w="266" w:type="pct"/>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-0.05</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-0.01</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-0.03</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6" w:type="pct"/>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6" w:type="pct"/>
            <w:tcBorders>
              <w:top w:val="nil"/>
              <w:left w:val="single" w:sz="4" w:space="0" w:color="auto"/>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-0.03</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-0.02</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-0.04</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-0.07</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-0.07</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-0.08</w:t>
            </w:r>
          </w:p>
        </w:tc>
        <w:tc>
          <w:tcPr>
            <w:tcW w:w="266" w:type="pct"/>
            <w:tcBorders>
              <w:top w:val="nil"/>
              <w:left w:val="nil"/>
              <w:bottom w:val="nil"/>
              <w:right w:val="nil"/>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-0.06</w:t>
            </w:r>
          </w:p>
        </w:tc>
        <w:tc>
          <w:tcPr>
            <w:tcW w:w="266" w:type="pct"/>
            <w:tcBorders>
              <w:top w:val="nil"/>
              <w:left w:val="nil"/>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-0.08</w:t>
            </w:r>
          </w:p>
        </w:tc>
      </w:tr>
      <w:tr w:rsidR="006270AA" w:rsidRPr="006956E9" w:rsidTr="006270AA">
        <w:trPr>
          <w:trHeight w:val="300"/>
        </w:trPr>
        <w:tc>
          <w:tcPr>
            <w:tcW w:w="209" w:type="pct"/>
            <w:tcBorders>
              <w:top w:val="nil"/>
              <w:left w:val="single" w:sz="4" w:space="0" w:color="auto"/>
              <w:bottom w:val="nil"/>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sidRPr="006956E9">
              <w:rPr>
                <w:rFonts w:eastAsia="Times New Roman" w:cs="Calibri"/>
                <w:color w:val="000000"/>
                <w:sz w:val="16"/>
                <w:szCs w:val="16"/>
                <w:lang w:eastAsia="en-NZ"/>
              </w:rPr>
              <w:t>MUL3</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-2.33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-1.69</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-1.41</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-0.88</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-0.51</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-0.36</w:t>
            </w:r>
            <w:r>
              <w:rPr>
                <w:rFonts w:eastAsiaTheme="minorEastAsia" w:cs="Calibri" w:hint="eastAsia"/>
                <w:color w:val="000000"/>
                <w:sz w:val="16"/>
                <w:szCs w:val="16"/>
                <w:lang w:eastAsia="zh-CN"/>
              </w:rPr>
              <w:t>***</w:t>
            </w:r>
          </w:p>
        </w:tc>
        <w:tc>
          <w:tcPr>
            <w:tcW w:w="266" w:type="pct"/>
            <w:tcBorders>
              <w:top w:val="nil"/>
              <w:left w:val="single" w:sz="4" w:space="0" w:color="auto"/>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-2.30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-2.23</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-1.80</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-1.55</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-0.92</w:t>
            </w:r>
            <w:r>
              <w:rPr>
                <w:rFonts w:eastAsiaTheme="minorEastAsia" w:cs="Calibri" w:hint="eastAsia"/>
                <w:color w:val="000000"/>
                <w:sz w:val="16"/>
                <w:szCs w:val="16"/>
                <w:lang w:eastAsia="zh-CN"/>
              </w:rPr>
              <w:t>***</w:t>
            </w:r>
          </w:p>
        </w:tc>
        <w:tc>
          <w:tcPr>
            <w:tcW w:w="266" w:type="pct"/>
            <w:tcBorders>
              <w:top w:val="nil"/>
              <w:left w:val="nil"/>
              <w:bottom w:val="nil"/>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-0.55</w:t>
            </w:r>
            <w:r>
              <w:rPr>
                <w:rFonts w:eastAsiaTheme="minorEastAsia" w:cs="Calibri" w:hint="eastAsia"/>
                <w:color w:val="000000"/>
                <w:sz w:val="16"/>
                <w:szCs w:val="16"/>
                <w:lang w:eastAsia="zh-CN"/>
              </w:rPr>
              <w:t>***</w:t>
            </w:r>
          </w:p>
        </w:tc>
        <w:tc>
          <w:tcPr>
            <w:tcW w:w="266" w:type="pct"/>
            <w:tcBorders>
              <w:top w:val="nil"/>
              <w:left w:val="nil"/>
              <w:bottom w:val="nil"/>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-0.34</w:t>
            </w:r>
            <w:r>
              <w:rPr>
                <w:rFonts w:eastAsiaTheme="minorEastAsia" w:cs="Calibri" w:hint="eastAsia"/>
                <w:color w:val="000000"/>
                <w:sz w:val="16"/>
                <w:szCs w:val="16"/>
                <w:lang w:eastAsia="zh-CN"/>
              </w:rPr>
              <w:t>***</w:t>
            </w:r>
          </w:p>
        </w:tc>
      </w:tr>
      <w:tr w:rsidR="006270AA" w:rsidRPr="006956E9" w:rsidTr="006270AA">
        <w:trPr>
          <w:trHeight w:val="300"/>
        </w:trPr>
        <w:tc>
          <w:tcPr>
            <w:tcW w:w="209" w:type="pct"/>
            <w:tcBorders>
              <w:top w:val="nil"/>
              <w:left w:val="single" w:sz="4" w:space="0" w:color="auto"/>
              <w:bottom w:val="single" w:sz="4" w:space="0" w:color="auto"/>
              <w:right w:val="single" w:sz="4" w:space="0" w:color="auto"/>
            </w:tcBorders>
            <w:shd w:val="clear" w:color="auto" w:fill="auto"/>
            <w:noWrap/>
            <w:vAlign w:val="bottom"/>
            <w:hideMark/>
          </w:tcPr>
          <w:p w:rsidR="006270AA" w:rsidRPr="006956E9" w:rsidRDefault="006270AA" w:rsidP="006270AA">
            <w:pPr>
              <w:rPr>
                <w:rFonts w:eastAsia="Times New Roman" w:cs="Calibri"/>
                <w:color w:val="000000"/>
                <w:sz w:val="16"/>
                <w:szCs w:val="16"/>
                <w:lang w:eastAsia="en-NZ"/>
              </w:rPr>
            </w:pPr>
            <w:r>
              <w:rPr>
                <w:rFonts w:eastAsia="Times New Roman" w:cs="Calibri"/>
                <w:color w:val="000000"/>
                <w:sz w:val="16"/>
                <w:szCs w:val="16"/>
                <w:lang w:eastAsia="en-NZ"/>
              </w:rPr>
              <w:t>MUL4</w:t>
            </w:r>
          </w:p>
        </w:tc>
        <w:tc>
          <w:tcPr>
            <w:tcW w:w="266" w:type="pct"/>
            <w:tcBorders>
              <w:top w:val="nil"/>
              <w:left w:val="single" w:sz="4" w:space="0" w:color="auto"/>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-2.19</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-2.04</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-1.65</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-1.49</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-1.18</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-0.79</w:t>
            </w:r>
            <w:r>
              <w:rPr>
                <w:rFonts w:eastAsiaTheme="minorEastAsia" w:cs="Calibri" w:hint="eastAsia"/>
                <w:color w:val="000000"/>
                <w:sz w:val="16"/>
                <w:szCs w:val="16"/>
                <w:lang w:eastAsia="zh-CN"/>
              </w:rPr>
              <w:t>***</w:t>
            </w:r>
          </w:p>
        </w:tc>
        <w:tc>
          <w:tcPr>
            <w:tcW w:w="266" w:type="pct"/>
            <w:tcBorders>
              <w:top w:val="nil"/>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-0.49</w:t>
            </w:r>
            <w:r>
              <w:rPr>
                <w:rFonts w:eastAsiaTheme="minorEastAsia" w:cs="Calibri" w:hint="eastAsia"/>
                <w:color w:val="000000"/>
                <w:sz w:val="16"/>
                <w:szCs w:val="16"/>
                <w:lang w:eastAsia="zh-CN"/>
              </w:rPr>
              <w:t>***</w:t>
            </w:r>
          </w:p>
        </w:tc>
        <w:tc>
          <w:tcPr>
            <w:tcW w:w="266" w:type="pct"/>
            <w:tcBorders>
              <w:top w:val="nil"/>
              <w:left w:val="single" w:sz="4" w:space="0" w:color="auto"/>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-2.27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-2.17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-2.01</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-1.90</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-1.62</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-1.43</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-1.07</w:t>
            </w:r>
            <w:r>
              <w:rPr>
                <w:rFonts w:eastAsiaTheme="minorEastAsia" w:cs="Calibri" w:hint="eastAsia"/>
                <w:color w:val="000000"/>
                <w:sz w:val="16"/>
                <w:szCs w:val="16"/>
                <w:lang w:eastAsia="zh-CN"/>
              </w:rPr>
              <w:t>***</w:t>
            </w:r>
          </w:p>
        </w:tc>
        <w:tc>
          <w:tcPr>
            <w:tcW w:w="266" w:type="pct"/>
            <w:tcBorders>
              <w:top w:val="nil"/>
              <w:left w:val="nil"/>
              <w:bottom w:val="single" w:sz="4" w:space="0" w:color="auto"/>
              <w:right w:val="nil"/>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-0.80</w:t>
            </w:r>
            <w:r>
              <w:rPr>
                <w:rFonts w:eastAsiaTheme="minorEastAsia" w:cs="Calibri" w:hint="eastAsia"/>
                <w:color w:val="000000"/>
                <w:sz w:val="16"/>
                <w:szCs w:val="16"/>
                <w:lang w:eastAsia="zh-CN"/>
              </w:rPr>
              <w:t>***</w:t>
            </w:r>
          </w:p>
        </w:tc>
        <w:tc>
          <w:tcPr>
            <w:tcW w:w="266" w:type="pct"/>
            <w:tcBorders>
              <w:top w:val="nil"/>
              <w:left w:val="nil"/>
              <w:bottom w:val="single" w:sz="4" w:space="0" w:color="auto"/>
              <w:right w:val="single" w:sz="4" w:space="0" w:color="auto"/>
            </w:tcBorders>
            <w:shd w:val="clear" w:color="auto" w:fill="auto"/>
            <w:noWrap/>
            <w:vAlign w:val="bottom"/>
            <w:hideMark/>
          </w:tcPr>
          <w:p w:rsidR="006270AA" w:rsidRPr="00F15EC1" w:rsidRDefault="006270AA" w:rsidP="006270AA">
            <w:pPr>
              <w:rPr>
                <w:rFonts w:eastAsiaTheme="minorEastAsia" w:cs="Calibri"/>
                <w:color w:val="000000"/>
                <w:sz w:val="16"/>
                <w:szCs w:val="16"/>
                <w:lang w:eastAsia="zh-CN"/>
              </w:rPr>
            </w:pPr>
            <w:r w:rsidRPr="006956E9">
              <w:rPr>
                <w:rFonts w:eastAsia="Times New Roman" w:cs="Calibri"/>
                <w:color w:val="000000"/>
                <w:sz w:val="16"/>
                <w:szCs w:val="16"/>
                <w:lang w:eastAsia="en-NZ"/>
              </w:rPr>
              <w:t>-0.47</w:t>
            </w:r>
            <w:r>
              <w:rPr>
                <w:rFonts w:eastAsiaTheme="minorEastAsia" w:cs="Calibri" w:hint="eastAsia"/>
                <w:color w:val="000000"/>
                <w:sz w:val="16"/>
                <w:szCs w:val="16"/>
                <w:lang w:eastAsia="zh-CN"/>
              </w:rPr>
              <w:t>***</w:t>
            </w:r>
          </w:p>
        </w:tc>
      </w:tr>
    </w:tbl>
    <w:p w:rsidR="006270AA" w:rsidRDefault="006270AA" w:rsidP="005D568A">
      <w:pPr>
        <w:spacing w:after="200" w:line="276" w:lineRule="auto"/>
        <w:sectPr w:rsidR="006270AA" w:rsidSect="001B432F">
          <w:pgSz w:w="16838" w:h="11906" w:orient="landscape"/>
          <w:pgMar w:top="1021" w:right="851" w:bottom="1021" w:left="851" w:header="709" w:footer="709" w:gutter="0"/>
          <w:cols w:space="708"/>
          <w:docGrid w:linePitch="360"/>
        </w:sectPr>
      </w:pPr>
    </w:p>
    <w:p w:rsidR="005D568A" w:rsidRDefault="005D568A" w:rsidP="005D568A">
      <w:pPr>
        <w:spacing w:after="200" w:line="276" w:lineRule="auto"/>
        <w:rPr>
          <w:sz w:val="28"/>
          <w:szCs w:val="28"/>
        </w:rPr>
      </w:pPr>
      <w:r w:rsidRPr="003E6A42">
        <w:rPr>
          <w:sz w:val="28"/>
          <w:szCs w:val="28"/>
        </w:rPr>
        <w:lastRenderedPageBreak/>
        <w:t>Appendix 3</w:t>
      </w:r>
      <w:r>
        <w:rPr>
          <w:sz w:val="28"/>
          <w:szCs w:val="28"/>
        </w:rPr>
        <w:t xml:space="preserve">: Bootstrap study on effects of spatial correlation on ordinary least square and </w:t>
      </w:r>
      <w:proofErr w:type="spellStart"/>
      <w:r>
        <w:rPr>
          <w:sz w:val="28"/>
          <w:szCs w:val="28"/>
        </w:rPr>
        <w:t>quantile</w:t>
      </w:r>
      <w:proofErr w:type="spellEnd"/>
      <w:r>
        <w:rPr>
          <w:sz w:val="28"/>
          <w:szCs w:val="28"/>
        </w:rPr>
        <w:t xml:space="preserve"> regressions</w:t>
      </w:r>
    </w:p>
    <w:p w:rsidR="005D568A" w:rsidRDefault="005D568A" w:rsidP="005D568A">
      <w:pPr>
        <w:spacing w:after="200" w:line="276" w:lineRule="auto"/>
        <w:rPr>
          <w:sz w:val="22"/>
        </w:rPr>
      </w:pPr>
      <w:r>
        <w:rPr>
          <w:sz w:val="22"/>
        </w:rPr>
        <w:t xml:space="preserve">The main purpose of this bootstrap study is to evaluate whether or not the omission of spatial correlation in OLS and </w:t>
      </w:r>
      <w:proofErr w:type="spellStart"/>
      <w:r>
        <w:rPr>
          <w:sz w:val="22"/>
        </w:rPr>
        <w:t>quantile</w:t>
      </w:r>
      <w:proofErr w:type="spellEnd"/>
      <w:r>
        <w:rPr>
          <w:sz w:val="22"/>
        </w:rPr>
        <w:t xml:space="preserve"> regressions causes bias results. </w:t>
      </w:r>
    </w:p>
    <w:p w:rsidR="005D568A" w:rsidRDefault="005D568A" w:rsidP="005D568A">
      <w:pPr>
        <w:spacing w:after="200" w:line="276" w:lineRule="auto"/>
        <w:rPr>
          <w:sz w:val="22"/>
        </w:rPr>
      </w:pPr>
      <w:r>
        <w:rPr>
          <w:sz w:val="22"/>
        </w:rPr>
        <w:t xml:space="preserve">According to </w:t>
      </w:r>
      <w:proofErr w:type="spellStart"/>
      <w:r>
        <w:rPr>
          <w:sz w:val="22"/>
        </w:rPr>
        <w:t>LeSage</w:t>
      </w:r>
      <w:proofErr w:type="spellEnd"/>
      <w:r>
        <w:rPr>
          <w:sz w:val="22"/>
        </w:rPr>
        <w:t xml:space="preserve"> and Pace (2009), omitted variables may easily arise in spatial modelling because unobservable factors such as location </w:t>
      </w:r>
      <w:r w:rsidR="00F874B7">
        <w:rPr>
          <w:sz w:val="22"/>
        </w:rPr>
        <w:t>amenities</w:t>
      </w:r>
      <w:r>
        <w:rPr>
          <w:sz w:val="22"/>
        </w:rPr>
        <w:t>, highway accessibility or neighbourhood prestige may exert an influence on the dependent variable. It is unlikely that explanatory variables are readily available to capture these types of latent influences. If this is the case, regressions may return either bias or inefficient estimates in explanatory variables (</w:t>
      </w:r>
      <w:proofErr w:type="spellStart"/>
      <w:r>
        <w:rPr>
          <w:sz w:val="22"/>
        </w:rPr>
        <w:t>Anselin</w:t>
      </w:r>
      <w:proofErr w:type="spellEnd"/>
      <w:r>
        <w:rPr>
          <w:sz w:val="22"/>
        </w:rPr>
        <w:t xml:space="preserve">, 1988). </w:t>
      </w:r>
    </w:p>
    <w:p w:rsidR="005D568A" w:rsidRDefault="005D568A" w:rsidP="005D568A">
      <w:pPr>
        <w:spacing w:after="200" w:line="276" w:lineRule="auto"/>
        <w:rPr>
          <w:rFonts w:eastAsiaTheme="minorEastAsia"/>
          <w:sz w:val="22"/>
          <w:lang w:eastAsia="zh-CN"/>
        </w:rPr>
      </w:pPr>
      <w:r>
        <w:rPr>
          <w:sz w:val="22"/>
        </w:rPr>
        <w:t xml:space="preserve">To determine which impact the spatial correlation may </w:t>
      </w:r>
      <w:r>
        <w:rPr>
          <w:rFonts w:eastAsiaTheme="minorEastAsia" w:hint="eastAsia"/>
          <w:sz w:val="22"/>
          <w:lang w:eastAsia="zh-CN"/>
        </w:rPr>
        <w:t>affect</w:t>
      </w:r>
      <w:r>
        <w:rPr>
          <w:sz w:val="22"/>
        </w:rPr>
        <w:t xml:space="preserve"> to OLS and </w:t>
      </w:r>
      <w:proofErr w:type="spellStart"/>
      <w:r>
        <w:rPr>
          <w:sz w:val="22"/>
        </w:rPr>
        <w:t>quantile</w:t>
      </w:r>
      <w:proofErr w:type="spellEnd"/>
      <w:r>
        <w:rPr>
          <w:sz w:val="22"/>
        </w:rPr>
        <w:t xml:space="preserve"> regression</w:t>
      </w:r>
      <w:r>
        <w:rPr>
          <w:rFonts w:eastAsiaTheme="minorEastAsia" w:hint="eastAsia"/>
          <w:sz w:val="22"/>
          <w:lang w:eastAsia="zh-CN"/>
        </w:rPr>
        <w:t xml:space="preserve"> estimates</w:t>
      </w:r>
      <w:r>
        <w:rPr>
          <w:sz w:val="22"/>
        </w:rPr>
        <w:t xml:space="preserve">, </w:t>
      </w:r>
      <w:r>
        <w:rPr>
          <w:rFonts w:eastAsiaTheme="minorEastAsia" w:hint="eastAsia"/>
          <w:sz w:val="22"/>
          <w:lang w:eastAsia="zh-CN"/>
        </w:rPr>
        <w:t xml:space="preserve">I apply </w:t>
      </w:r>
      <w:proofErr w:type="gramStart"/>
      <w:r>
        <w:rPr>
          <w:rFonts w:eastAsiaTheme="minorEastAsia" w:hint="eastAsia"/>
          <w:sz w:val="22"/>
          <w:lang w:eastAsia="zh-CN"/>
        </w:rPr>
        <w:t>an</w:t>
      </w:r>
      <w:proofErr w:type="gramEnd"/>
      <w:r>
        <w:rPr>
          <w:rFonts w:eastAsiaTheme="minorEastAsia" w:hint="eastAsia"/>
          <w:sz w:val="22"/>
          <w:lang w:eastAsia="zh-CN"/>
        </w:rPr>
        <w:t xml:space="preserve"> non-parametric bootstrapping </w:t>
      </w:r>
      <w:r>
        <w:rPr>
          <w:rFonts w:eastAsiaTheme="minorEastAsia"/>
          <w:sz w:val="22"/>
          <w:lang w:eastAsia="zh-CN"/>
        </w:rPr>
        <w:t>technique</w:t>
      </w:r>
      <w:r>
        <w:rPr>
          <w:rFonts w:eastAsiaTheme="minorEastAsia" w:hint="eastAsia"/>
          <w:sz w:val="22"/>
          <w:lang w:eastAsia="zh-CN"/>
        </w:rPr>
        <w:t xml:space="preserve"> (</w:t>
      </w:r>
      <w:proofErr w:type="spellStart"/>
      <w:r>
        <w:rPr>
          <w:rFonts w:eastAsiaTheme="minorEastAsia" w:hint="eastAsia"/>
          <w:sz w:val="22"/>
          <w:lang w:eastAsia="zh-CN"/>
        </w:rPr>
        <w:t>Efron</w:t>
      </w:r>
      <w:proofErr w:type="spellEnd"/>
      <w:r>
        <w:rPr>
          <w:rFonts w:eastAsiaTheme="minorEastAsia" w:hint="eastAsia"/>
          <w:sz w:val="22"/>
          <w:lang w:eastAsia="zh-CN"/>
        </w:rPr>
        <w:t xml:space="preserve">, 1981) to evaluate two measures, (1) </w:t>
      </w:r>
      <w:r>
        <w:rPr>
          <w:sz w:val="22"/>
        </w:rPr>
        <w:t xml:space="preserve">measure of spatial correlation and </w:t>
      </w:r>
      <w:r>
        <w:rPr>
          <w:rFonts w:eastAsiaTheme="minorEastAsia" w:hint="eastAsia"/>
          <w:sz w:val="22"/>
          <w:lang w:eastAsia="zh-CN"/>
        </w:rPr>
        <w:t xml:space="preserve">(2) stability of coefficient estimates. Bootstrapping is vital for both measures. (1) </w:t>
      </w:r>
      <w:proofErr w:type="gramStart"/>
      <w:r>
        <w:rPr>
          <w:rFonts w:eastAsiaTheme="minorEastAsia" w:hint="eastAsia"/>
          <w:sz w:val="22"/>
          <w:lang w:eastAsia="zh-CN"/>
        </w:rPr>
        <w:t>spatial</w:t>
      </w:r>
      <w:proofErr w:type="gramEnd"/>
      <w:r>
        <w:rPr>
          <w:rFonts w:eastAsiaTheme="minorEastAsia" w:hint="eastAsia"/>
          <w:sz w:val="22"/>
          <w:lang w:eastAsia="zh-CN"/>
        </w:rPr>
        <w:t xml:space="preserve"> correlation on the entire data cannot be calculated. However bootstrapping makes </w:t>
      </w:r>
      <w:proofErr w:type="gramStart"/>
      <w:r>
        <w:rPr>
          <w:rFonts w:eastAsiaTheme="minorEastAsia" w:hint="eastAsia"/>
          <w:sz w:val="22"/>
          <w:lang w:eastAsia="zh-CN"/>
        </w:rPr>
        <w:t>the calculate</w:t>
      </w:r>
      <w:proofErr w:type="gramEnd"/>
      <w:r>
        <w:rPr>
          <w:rFonts w:eastAsiaTheme="minorEastAsia" w:hint="eastAsia"/>
          <w:sz w:val="22"/>
          <w:lang w:eastAsia="zh-CN"/>
        </w:rPr>
        <w:t xml:space="preserve"> feasible by resampling the entire data. (2) Under traditional regression analysis, theoretical distribution of the parameters of interest in unknown. Bootstrapping allows </w:t>
      </w:r>
      <w:proofErr w:type="gramStart"/>
      <w:r>
        <w:rPr>
          <w:rFonts w:eastAsiaTheme="minorEastAsia" w:hint="eastAsia"/>
          <w:sz w:val="22"/>
          <w:lang w:eastAsia="zh-CN"/>
        </w:rPr>
        <w:t>to assess</w:t>
      </w:r>
      <w:proofErr w:type="gramEnd"/>
      <w:r>
        <w:rPr>
          <w:rFonts w:eastAsiaTheme="minorEastAsia" w:hint="eastAsia"/>
          <w:sz w:val="22"/>
          <w:lang w:eastAsia="zh-CN"/>
        </w:rPr>
        <w:t xml:space="preserve"> the properties of distribution.</w:t>
      </w:r>
    </w:p>
    <w:p w:rsidR="005D568A" w:rsidRDefault="005D568A" w:rsidP="005D568A">
      <w:pPr>
        <w:spacing w:after="200" w:line="276" w:lineRule="auto"/>
        <w:rPr>
          <w:rFonts w:eastAsiaTheme="minorEastAsia"/>
          <w:sz w:val="22"/>
          <w:lang w:eastAsia="zh-CN"/>
        </w:rPr>
      </w:pPr>
      <w:r>
        <w:rPr>
          <w:rFonts w:eastAsiaTheme="minorEastAsia" w:hint="eastAsia"/>
          <w:sz w:val="22"/>
          <w:lang w:eastAsia="zh-CN"/>
        </w:rPr>
        <w:t>The following shows the procedures for these measures. (Note that the bootstrapping study only focus</w:t>
      </w:r>
      <w:r w:rsidR="00F874B7">
        <w:rPr>
          <w:rFonts w:eastAsiaTheme="minorEastAsia"/>
          <w:sz w:val="22"/>
          <w:lang w:eastAsia="zh-CN"/>
        </w:rPr>
        <w:t>es on</w:t>
      </w:r>
      <w:r>
        <w:rPr>
          <w:rFonts w:eastAsiaTheme="minorEastAsia" w:hint="eastAsia"/>
          <w:sz w:val="22"/>
          <w:lang w:eastAsia="zh-CN"/>
        </w:rPr>
        <w:t xml:space="preserve"> 2010 data and run repeat</w:t>
      </w:r>
      <w:r w:rsidR="00F874B7">
        <w:rPr>
          <w:rFonts w:eastAsiaTheme="minorEastAsia"/>
          <w:sz w:val="22"/>
          <w:lang w:eastAsia="zh-CN"/>
        </w:rPr>
        <w:t>ed</w:t>
      </w:r>
      <w:r>
        <w:rPr>
          <w:rFonts w:eastAsiaTheme="minorEastAsia" w:hint="eastAsia"/>
          <w:sz w:val="22"/>
          <w:lang w:eastAsia="zh-CN"/>
        </w:rPr>
        <w:t xml:space="preserve">ly 200 times.) </w:t>
      </w:r>
    </w:p>
    <w:p w:rsidR="005D568A" w:rsidRDefault="005D568A" w:rsidP="005D568A">
      <w:pPr>
        <w:pStyle w:val="ListParagraph"/>
        <w:numPr>
          <w:ilvl w:val="0"/>
          <w:numId w:val="26"/>
        </w:numPr>
        <w:spacing w:after="200" w:line="276" w:lineRule="auto"/>
        <w:rPr>
          <w:rFonts w:eastAsiaTheme="minorEastAsia"/>
          <w:sz w:val="22"/>
          <w:lang w:eastAsia="zh-CN"/>
        </w:rPr>
      </w:pPr>
      <w:r>
        <w:rPr>
          <w:rFonts w:eastAsiaTheme="minorEastAsia"/>
          <w:sz w:val="22"/>
          <w:lang w:eastAsia="zh-CN"/>
        </w:rPr>
        <w:t>M</w:t>
      </w:r>
      <w:r>
        <w:rPr>
          <w:rFonts w:eastAsiaTheme="minorEastAsia" w:hint="eastAsia"/>
          <w:sz w:val="22"/>
          <w:lang w:eastAsia="zh-CN"/>
        </w:rPr>
        <w:t>easures of spatial correlation</w:t>
      </w:r>
    </w:p>
    <w:p w:rsidR="005D568A" w:rsidRPr="001265CB" w:rsidRDefault="005D568A" w:rsidP="005D568A">
      <w:pPr>
        <w:pStyle w:val="ListParagraph"/>
        <w:numPr>
          <w:ilvl w:val="1"/>
          <w:numId w:val="26"/>
        </w:numPr>
        <w:spacing w:after="200" w:line="276" w:lineRule="auto"/>
        <w:rPr>
          <w:rFonts w:eastAsiaTheme="minorEastAsia"/>
          <w:sz w:val="22"/>
          <w:lang w:eastAsia="zh-CN"/>
        </w:rPr>
      </w:pPr>
      <w:r>
        <w:rPr>
          <w:rFonts w:eastAsiaTheme="minorEastAsia" w:hint="eastAsia"/>
          <w:sz w:val="22"/>
          <w:lang w:eastAsia="zh-CN"/>
        </w:rPr>
        <w:t>b</w:t>
      </w:r>
      <w:r w:rsidRPr="001265CB">
        <w:rPr>
          <w:rFonts w:eastAsiaTheme="minorEastAsia" w:hint="eastAsia"/>
          <w:sz w:val="22"/>
          <w:lang w:eastAsia="zh-CN"/>
        </w:rPr>
        <w:t>ootstrapping randomly draw 20% of sample</w:t>
      </w:r>
      <w:r>
        <w:rPr>
          <w:rFonts w:eastAsiaTheme="minorEastAsia" w:hint="eastAsia"/>
          <w:sz w:val="22"/>
          <w:lang w:eastAsia="zh-CN"/>
        </w:rPr>
        <w:t xml:space="preserve"> (without replacement)</w:t>
      </w:r>
      <w:r w:rsidRPr="001265CB">
        <w:rPr>
          <w:rFonts w:eastAsiaTheme="minorEastAsia" w:hint="eastAsia"/>
          <w:sz w:val="22"/>
          <w:lang w:eastAsia="zh-CN"/>
        </w:rPr>
        <w:t xml:space="preserve"> from the entire data</w:t>
      </w:r>
    </w:p>
    <w:p w:rsidR="005D568A" w:rsidRDefault="005D568A" w:rsidP="005D568A">
      <w:pPr>
        <w:pStyle w:val="ListParagraph"/>
        <w:numPr>
          <w:ilvl w:val="1"/>
          <w:numId w:val="26"/>
        </w:numPr>
        <w:spacing w:after="200" w:line="276" w:lineRule="auto"/>
        <w:rPr>
          <w:rFonts w:eastAsiaTheme="minorEastAsia"/>
          <w:sz w:val="22"/>
          <w:lang w:eastAsia="zh-CN"/>
        </w:rPr>
      </w:pPr>
      <w:r>
        <w:rPr>
          <w:rFonts w:eastAsiaTheme="minorEastAsia" w:hint="eastAsia"/>
          <w:sz w:val="22"/>
          <w:lang w:eastAsia="zh-CN"/>
        </w:rPr>
        <w:t>u</w:t>
      </w:r>
      <w:r w:rsidRPr="00D92EB8">
        <w:rPr>
          <w:rFonts w:eastAsiaTheme="minorEastAsia" w:hint="eastAsia"/>
          <w:sz w:val="22"/>
          <w:lang w:eastAsia="zh-CN"/>
        </w:rPr>
        <w:t xml:space="preserve">nder the sample, run OLS </w:t>
      </w:r>
      <w:r>
        <w:rPr>
          <w:rFonts w:eastAsiaTheme="minorEastAsia" w:hint="eastAsia"/>
          <w:sz w:val="22"/>
          <w:lang w:eastAsia="zh-CN"/>
        </w:rPr>
        <w:t>and derive residuals</w:t>
      </w:r>
    </w:p>
    <w:p w:rsidR="005D568A" w:rsidRPr="003C5B4F" w:rsidRDefault="005D568A" w:rsidP="005D568A">
      <w:pPr>
        <w:pStyle w:val="ListParagraph"/>
        <w:numPr>
          <w:ilvl w:val="1"/>
          <w:numId w:val="26"/>
        </w:numPr>
        <w:spacing w:after="200" w:line="276" w:lineRule="auto"/>
        <w:rPr>
          <w:rFonts w:eastAsiaTheme="minorEastAsia"/>
          <w:sz w:val="22"/>
          <w:lang w:eastAsia="zh-CN"/>
        </w:rPr>
      </w:pPr>
      <w:r>
        <w:rPr>
          <w:rFonts w:eastAsiaTheme="minorEastAsia" w:hint="eastAsia"/>
          <w:sz w:val="22"/>
          <w:lang w:eastAsia="zh-CN"/>
        </w:rPr>
        <w:t>e</w:t>
      </w:r>
      <w:r w:rsidRPr="00D92EB8">
        <w:rPr>
          <w:rFonts w:eastAsiaTheme="minorEastAsia" w:hint="eastAsia"/>
          <w:sz w:val="22"/>
          <w:lang w:eastAsia="zh-CN"/>
        </w:rPr>
        <w:t>stimate spatial correlation by Moran</w:t>
      </w:r>
      <w:r w:rsidRPr="00D92EB8">
        <w:rPr>
          <w:rFonts w:eastAsiaTheme="minorEastAsia"/>
          <w:sz w:val="22"/>
          <w:lang w:eastAsia="zh-CN"/>
        </w:rPr>
        <w:t>’</w:t>
      </w:r>
      <w:r w:rsidRPr="00D92EB8">
        <w:rPr>
          <w:rFonts w:eastAsiaTheme="minorEastAsia" w:hint="eastAsia"/>
          <w:sz w:val="22"/>
          <w:lang w:eastAsia="zh-CN"/>
        </w:rPr>
        <w:t>s I</w:t>
      </w:r>
      <w:r>
        <w:rPr>
          <w:rFonts w:eastAsiaTheme="minorEastAsia" w:hint="eastAsia"/>
          <w:sz w:val="22"/>
          <w:lang w:eastAsia="zh-CN"/>
        </w:rPr>
        <w:t>(</w:t>
      </w:r>
      <w:r w:rsidR="00466662">
        <w:rPr>
          <w:rFonts w:eastAsiaTheme="minorEastAsia" w:hint="eastAsia"/>
          <w:sz w:val="22"/>
          <w:lang w:eastAsia="zh-CN"/>
        </w:rPr>
        <w:t xml:space="preserve">Moran, 1950, Cliff &amp; </w:t>
      </w:r>
      <w:proofErr w:type="spellStart"/>
      <w:r w:rsidR="00466662">
        <w:rPr>
          <w:rFonts w:eastAsiaTheme="minorEastAsia" w:hint="eastAsia"/>
          <w:sz w:val="22"/>
          <w:lang w:eastAsia="zh-CN"/>
        </w:rPr>
        <w:t>Ord</w:t>
      </w:r>
      <w:proofErr w:type="spellEnd"/>
      <w:r w:rsidR="00466662">
        <w:rPr>
          <w:rFonts w:eastAsiaTheme="minorEastAsia" w:hint="eastAsia"/>
          <w:sz w:val="22"/>
          <w:lang w:eastAsia="zh-CN"/>
        </w:rPr>
        <w:t>, 1981</w:t>
      </w:r>
      <w:r>
        <w:rPr>
          <w:rFonts w:eastAsiaTheme="minorEastAsia" w:hint="eastAsia"/>
          <w:sz w:val="22"/>
          <w:lang w:eastAsia="zh-CN"/>
        </w:rPr>
        <w:t>)</w:t>
      </w:r>
      <w:r>
        <w:rPr>
          <w:rStyle w:val="FootnoteReference"/>
          <w:rFonts w:eastAsiaTheme="minorEastAsia"/>
          <w:sz w:val="22"/>
          <w:lang w:eastAsia="zh-CN"/>
        </w:rPr>
        <w:footnoteReference w:id="12"/>
      </w:r>
      <w:r>
        <w:rPr>
          <w:rStyle w:val="FootnoteReference"/>
          <w:rFonts w:eastAsiaTheme="minorEastAsia"/>
          <w:sz w:val="22"/>
          <w:lang w:eastAsia="zh-CN"/>
        </w:rPr>
        <w:footnoteReference w:id="13"/>
      </w:r>
      <w:r w:rsidRPr="00D92EB8">
        <w:rPr>
          <w:rFonts w:eastAsiaTheme="minorEastAsia" w:hint="eastAsia"/>
          <w:sz w:val="22"/>
          <w:lang w:eastAsia="zh-CN"/>
        </w:rPr>
        <w:t xml:space="preserve"> test</w:t>
      </w:r>
      <w:r>
        <w:rPr>
          <w:rFonts w:eastAsiaTheme="minorEastAsia" w:hint="eastAsia"/>
          <w:sz w:val="22"/>
          <w:lang w:eastAsia="zh-CN"/>
        </w:rPr>
        <w:t xml:space="preserve"> from residuals</w:t>
      </w:r>
    </w:p>
    <w:p w:rsidR="005D568A" w:rsidRDefault="005D568A" w:rsidP="005D568A">
      <w:pPr>
        <w:pStyle w:val="ListParagraph"/>
        <w:numPr>
          <w:ilvl w:val="0"/>
          <w:numId w:val="26"/>
        </w:numPr>
        <w:spacing w:after="200" w:line="276" w:lineRule="auto"/>
        <w:rPr>
          <w:rFonts w:eastAsiaTheme="minorEastAsia"/>
          <w:sz w:val="22"/>
          <w:lang w:eastAsia="zh-CN"/>
        </w:rPr>
      </w:pPr>
      <w:r>
        <w:rPr>
          <w:rFonts w:eastAsiaTheme="minorEastAsia" w:hint="eastAsia"/>
          <w:sz w:val="22"/>
          <w:lang w:eastAsia="zh-CN"/>
        </w:rPr>
        <w:t>Stability of coefficient estimates</w:t>
      </w:r>
    </w:p>
    <w:p w:rsidR="005D568A" w:rsidRDefault="005D568A" w:rsidP="005D568A">
      <w:pPr>
        <w:pStyle w:val="ListParagraph"/>
        <w:numPr>
          <w:ilvl w:val="1"/>
          <w:numId w:val="26"/>
        </w:numPr>
        <w:spacing w:after="200" w:line="276" w:lineRule="auto"/>
        <w:rPr>
          <w:rFonts w:eastAsiaTheme="minorEastAsia"/>
          <w:sz w:val="22"/>
          <w:lang w:eastAsia="zh-CN"/>
        </w:rPr>
      </w:pPr>
      <w:r>
        <w:rPr>
          <w:rFonts w:eastAsiaTheme="minorEastAsia"/>
          <w:sz w:val="22"/>
          <w:lang w:eastAsia="zh-CN"/>
        </w:rPr>
        <w:t>F</w:t>
      </w:r>
      <w:r>
        <w:rPr>
          <w:rFonts w:eastAsiaTheme="minorEastAsia" w:hint="eastAsia"/>
          <w:sz w:val="22"/>
          <w:lang w:eastAsia="zh-CN"/>
        </w:rPr>
        <w:t>or OLS</w:t>
      </w:r>
    </w:p>
    <w:p w:rsidR="005D568A" w:rsidRPr="001265CB" w:rsidRDefault="005D568A" w:rsidP="005D568A">
      <w:pPr>
        <w:pStyle w:val="ListParagraph"/>
        <w:numPr>
          <w:ilvl w:val="2"/>
          <w:numId w:val="26"/>
        </w:numPr>
        <w:spacing w:after="200" w:line="276" w:lineRule="auto"/>
        <w:rPr>
          <w:rFonts w:eastAsiaTheme="minorEastAsia"/>
          <w:sz w:val="22"/>
          <w:lang w:eastAsia="zh-CN"/>
        </w:rPr>
      </w:pPr>
      <w:r>
        <w:rPr>
          <w:rFonts w:eastAsiaTheme="minorEastAsia" w:hint="eastAsia"/>
          <w:sz w:val="22"/>
          <w:lang w:eastAsia="zh-CN"/>
        </w:rPr>
        <w:t>b</w:t>
      </w:r>
      <w:r w:rsidRPr="001265CB">
        <w:rPr>
          <w:rFonts w:eastAsiaTheme="minorEastAsia" w:hint="eastAsia"/>
          <w:sz w:val="22"/>
          <w:lang w:eastAsia="zh-CN"/>
        </w:rPr>
        <w:t>ootstrapping randomly draw 20% of sample</w:t>
      </w:r>
      <w:r>
        <w:rPr>
          <w:rFonts w:eastAsiaTheme="minorEastAsia" w:hint="eastAsia"/>
          <w:sz w:val="22"/>
          <w:lang w:eastAsia="zh-CN"/>
        </w:rPr>
        <w:t xml:space="preserve"> (without replacement)</w:t>
      </w:r>
      <w:r w:rsidRPr="001265CB">
        <w:rPr>
          <w:rFonts w:eastAsiaTheme="minorEastAsia" w:hint="eastAsia"/>
          <w:sz w:val="22"/>
          <w:lang w:eastAsia="zh-CN"/>
        </w:rPr>
        <w:t xml:space="preserve"> from the entire data</w:t>
      </w:r>
    </w:p>
    <w:p w:rsidR="005D568A" w:rsidRDefault="005D568A" w:rsidP="005D568A">
      <w:pPr>
        <w:pStyle w:val="ListParagraph"/>
        <w:numPr>
          <w:ilvl w:val="2"/>
          <w:numId w:val="26"/>
        </w:numPr>
        <w:spacing w:after="200" w:line="276" w:lineRule="auto"/>
        <w:rPr>
          <w:rFonts w:eastAsiaTheme="minorEastAsia"/>
          <w:sz w:val="22"/>
          <w:lang w:eastAsia="zh-CN"/>
        </w:rPr>
      </w:pPr>
      <w:r>
        <w:rPr>
          <w:rFonts w:eastAsiaTheme="minorEastAsia" w:hint="eastAsia"/>
          <w:sz w:val="22"/>
          <w:lang w:eastAsia="zh-CN"/>
        </w:rPr>
        <w:t xml:space="preserve">under the </w:t>
      </w:r>
      <w:r w:rsidR="00F874B7">
        <w:rPr>
          <w:rFonts w:eastAsiaTheme="minorEastAsia"/>
          <w:sz w:val="22"/>
          <w:lang w:eastAsia="zh-CN"/>
        </w:rPr>
        <w:t>sample</w:t>
      </w:r>
      <w:r>
        <w:rPr>
          <w:rFonts w:eastAsiaTheme="minorEastAsia" w:hint="eastAsia"/>
          <w:sz w:val="22"/>
          <w:lang w:eastAsia="zh-CN"/>
        </w:rPr>
        <w:t>, run OLS and derive coefficient estimates</w:t>
      </w:r>
    </w:p>
    <w:p w:rsidR="005D568A" w:rsidRDefault="005D568A" w:rsidP="005D568A">
      <w:pPr>
        <w:pStyle w:val="ListParagraph"/>
        <w:numPr>
          <w:ilvl w:val="2"/>
          <w:numId w:val="26"/>
        </w:numPr>
        <w:spacing w:after="200" w:line="276" w:lineRule="auto"/>
        <w:rPr>
          <w:rFonts w:eastAsiaTheme="minorEastAsia"/>
          <w:sz w:val="22"/>
          <w:lang w:eastAsia="zh-CN"/>
        </w:rPr>
      </w:pPr>
      <w:r>
        <w:rPr>
          <w:rFonts w:eastAsiaTheme="minorEastAsia" w:hint="eastAsia"/>
          <w:sz w:val="22"/>
          <w:lang w:eastAsia="zh-CN"/>
        </w:rPr>
        <w:t>compute empirical distributions of coefficient estimates and correlations of coefficient estimates and spatial correlation from (1)</w:t>
      </w:r>
    </w:p>
    <w:p w:rsidR="005D568A" w:rsidRDefault="005D568A" w:rsidP="005D568A">
      <w:pPr>
        <w:pStyle w:val="ListParagraph"/>
        <w:numPr>
          <w:ilvl w:val="1"/>
          <w:numId w:val="26"/>
        </w:numPr>
        <w:spacing w:after="200" w:line="276" w:lineRule="auto"/>
        <w:rPr>
          <w:rFonts w:eastAsiaTheme="minorEastAsia"/>
          <w:sz w:val="22"/>
          <w:lang w:eastAsia="zh-CN"/>
        </w:rPr>
      </w:pPr>
      <w:r>
        <w:rPr>
          <w:rFonts w:eastAsiaTheme="minorEastAsia" w:hint="eastAsia"/>
          <w:sz w:val="22"/>
          <w:lang w:eastAsia="zh-CN"/>
        </w:rPr>
        <w:t xml:space="preserve">For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w:t>
      </w:r>
    </w:p>
    <w:p w:rsidR="005D568A" w:rsidRDefault="005D568A" w:rsidP="005D568A">
      <w:pPr>
        <w:pStyle w:val="ListParagraph"/>
        <w:numPr>
          <w:ilvl w:val="2"/>
          <w:numId w:val="26"/>
        </w:numPr>
        <w:spacing w:after="200" w:line="276" w:lineRule="auto"/>
        <w:rPr>
          <w:rFonts w:eastAsiaTheme="minorEastAsia"/>
          <w:sz w:val="22"/>
          <w:lang w:eastAsia="zh-CN"/>
        </w:rPr>
      </w:pPr>
      <w:proofErr w:type="gramStart"/>
      <w:r>
        <w:rPr>
          <w:rFonts w:eastAsiaTheme="minorEastAsia" w:hint="eastAsia"/>
          <w:sz w:val="22"/>
          <w:lang w:eastAsia="zh-CN"/>
        </w:rPr>
        <w:t>same</w:t>
      </w:r>
      <w:proofErr w:type="gramEnd"/>
      <w:r>
        <w:rPr>
          <w:rFonts w:eastAsiaTheme="minorEastAsia" w:hint="eastAsia"/>
          <w:sz w:val="22"/>
          <w:lang w:eastAsia="zh-CN"/>
        </w:rPr>
        <w:t xml:space="preserve"> as </w:t>
      </w:r>
      <w:proofErr w:type="spellStart"/>
      <w:r>
        <w:rPr>
          <w:rFonts w:eastAsiaTheme="minorEastAsia" w:hint="eastAsia"/>
          <w:sz w:val="22"/>
          <w:lang w:eastAsia="zh-CN"/>
        </w:rPr>
        <w:t>i</w:t>
      </w:r>
      <w:proofErr w:type="spellEnd"/>
      <w:r>
        <w:rPr>
          <w:rFonts w:eastAsiaTheme="minorEastAsia" w:hint="eastAsia"/>
          <w:sz w:val="22"/>
          <w:lang w:eastAsia="zh-CN"/>
        </w:rPr>
        <w:t>.</w:t>
      </w:r>
    </w:p>
    <w:p w:rsidR="005D568A" w:rsidRDefault="005D568A" w:rsidP="005D568A">
      <w:pPr>
        <w:pStyle w:val="ListParagraph"/>
        <w:numPr>
          <w:ilvl w:val="2"/>
          <w:numId w:val="26"/>
        </w:numPr>
        <w:spacing w:after="200" w:line="276" w:lineRule="auto"/>
        <w:rPr>
          <w:rFonts w:eastAsiaTheme="minorEastAsia"/>
          <w:sz w:val="22"/>
          <w:lang w:eastAsia="zh-CN"/>
        </w:rPr>
      </w:pPr>
      <w:r>
        <w:rPr>
          <w:rFonts w:eastAsiaTheme="minorEastAsia" w:hint="eastAsia"/>
          <w:sz w:val="22"/>
          <w:lang w:eastAsia="zh-CN"/>
        </w:rPr>
        <w:t xml:space="preserve">under the </w:t>
      </w:r>
      <w:r w:rsidR="00F874B7">
        <w:rPr>
          <w:rFonts w:eastAsiaTheme="minorEastAsia"/>
          <w:sz w:val="22"/>
          <w:lang w:eastAsia="zh-CN"/>
        </w:rPr>
        <w:t>sample</w:t>
      </w:r>
      <w:r>
        <w:rPr>
          <w:rFonts w:eastAsiaTheme="minorEastAsia" w:hint="eastAsia"/>
          <w:sz w:val="22"/>
          <w:lang w:eastAsia="zh-CN"/>
        </w:rPr>
        <w:t xml:space="preserve">, run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regressions on decide and derive coefficient estimates</w:t>
      </w:r>
    </w:p>
    <w:p w:rsidR="005D568A" w:rsidRDefault="005D568A" w:rsidP="005D568A">
      <w:pPr>
        <w:pStyle w:val="ListParagraph"/>
        <w:numPr>
          <w:ilvl w:val="2"/>
          <w:numId w:val="26"/>
        </w:numPr>
        <w:spacing w:after="200" w:line="276" w:lineRule="auto"/>
        <w:rPr>
          <w:rFonts w:eastAsiaTheme="minorEastAsia"/>
          <w:sz w:val="22"/>
          <w:lang w:eastAsia="zh-CN"/>
        </w:rPr>
      </w:pPr>
      <w:r>
        <w:rPr>
          <w:rFonts w:eastAsiaTheme="minorEastAsia" w:hint="eastAsia"/>
          <w:sz w:val="22"/>
          <w:lang w:eastAsia="zh-CN"/>
        </w:rPr>
        <w:t>compute empirical distributions of coefficient estimates</w:t>
      </w:r>
    </w:p>
    <w:p w:rsidR="005D568A" w:rsidRDefault="005D568A" w:rsidP="005D568A">
      <w:pPr>
        <w:spacing w:after="200" w:line="276" w:lineRule="auto"/>
        <w:rPr>
          <w:rFonts w:eastAsiaTheme="minorEastAsia"/>
          <w:sz w:val="22"/>
          <w:lang w:eastAsia="zh-CN"/>
        </w:rPr>
      </w:pPr>
      <w:r>
        <w:rPr>
          <w:rFonts w:eastAsiaTheme="minorEastAsia" w:hint="eastAsia"/>
          <w:sz w:val="22"/>
          <w:lang w:eastAsia="zh-CN"/>
        </w:rPr>
        <w:t>Results: (1) measures of spatial correlation</w:t>
      </w:r>
    </w:p>
    <w:p w:rsidR="005D568A" w:rsidRDefault="005D568A" w:rsidP="005D568A">
      <w:pPr>
        <w:spacing w:after="200" w:line="276" w:lineRule="auto"/>
        <w:rPr>
          <w:rFonts w:eastAsiaTheme="minorEastAsia"/>
          <w:sz w:val="22"/>
          <w:lang w:eastAsia="zh-CN"/>
        </w:rPr>
      </w:pPr>
      <w:r>
        <w:rPr>
          <w:rFonts w:eastAsiaTheme="minorEastAsia" w:hint="eastAsia"/>
          <w:sz w:val="22"/>
          <w:lang w:eastAsia="zh-CN"/>
        </w:rPr>
        <w:lastRenderedPageBreak/>
        <w:t>Resu</w:t>
      </w:r>
      <w:r w:rsidR="00F874B7">
        <w:rPr>
          <w:rFonts w:eastAsiaTheme="minorEastAsia"/>
          <w:sz w:val="22"/>
          <w:lang w:eastAsia="zh-CN"/>
        </w:rPr>
        <w:t>l</w:t>
      </w:r>
      <w:r>
        <w:rPr>
          <w:rFonts w:eastAsiaTheme="minorEastAsia" w:hint="eastAsia"/>
          <w:sz w:val="22"/>
          <w:lang w:eastAsia="zh-CN"/>
        </w:rPr>
        <w:t xml:space="preserve">ts suggest that spatial correlations are statistically significant. </w:t>
      </w:r>
      <w:r>
        <w:rPr>
          <w:rFonts w:eastAsiaTheme="minorEastAsia"/>
          <w:sz w:val="22"/>
          <w:lang w:eastAsia="zh-CN"/>
        </w:rPr>
        <w:t>B</w:t>
      </w:r>
      <w:r>
        <w:rPr>
          <w:rFonts w:eastAsiaTheme="minorEastAsia" w:hint="eastAsia"/>
          <w:sz w:val="22"/>
          <w:lang w:eastAsia="zh-CN"/>
        </w:rPr>
        <w:t>ut the strength of the correlation is relatively weak, no more than 0.15 (figure A3.1). It possibly indicates the impact on coefficient estimates may be limited due to week spatial correlations.</w:t>
      </w:r>
    </w:p>
    <w:p w:rsidR="005D568A" w:rsidRDefault="005D568A" w:rsidP="005D568A">
      <w:pPr>
        <w:spacing w:after="200" w:line="276" w:lineRule="auto"/>
        <w:rPr>
          <w:rFonts w:eastAsiaTheme="minorEastAsia"/>
          <w:sz w:val="22"/>
          <w:lang w:eastAsia="zh-CN"/>
        </w:rPr>
      </w:pPr>
      <w:r>
        <w:rPr>
          <w:rFonts w:eastAsiaTheme="minorEastAsia" w:hint="eastAsia"/>
          <w:sz w:val="22"/>
          <w:lang w:eastAsia="zh-CN"/>
        </w:rPr>
        <w:t>Results: (2) stability of coefficient estimates</w:t>
      </w:r>
    </w:p>
    <w:p w:rsidR="005D568A" w:rsidRDefault="005D568A" w:rsidP="005D568A">
      <w:pPr>
        <w:spacing w:after="200" w:line="276" w:lineRule="auto"/>
        <w:rPr>
          <w:rFonts w:eastAsiaTheme="minorEastAsia"/>
          <w:sz w:val="22"/>
          <w:lang w:eastAsia="zh-CN"/>
        </w:rPr>
      </w:pPr>
      <w:r>
        <w:rPr>
          <w:rFonts w:eastAsiaTheme="minorEastAsia" w:hint="eastAsia"/>
          <w:sz w:val="22"/>
          <w:lang w:eastAsia="zh-CN"/>
        </w:rPr>
        <w:t xml:space="preserve">Results focus on key variables, MUL2 and MUL3, which are used to evaluate the MUL boundary effect. For OLS, distributions for both coefficients are normal distributions (figure A3.2) and bivariate relations between coefficients and spatial correlations are uncorrelated (figure A3.3). Similarly bootstrap on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 shows stable and symmetric distributions on MUL coefficients over </w:t>
      </w:r>
      <w:proofErr w:type="spellStart"/>
      <w:r>
        <w:rPr>
          <w:rFonts w:eastAsiaTheme="minorEastAsia" w:hint="eastAsia"/>
          <w:sz w:val="22"/>
          <w:lang w:eastAsia="zh-CN"/>
        </w:rPr>
        <w:t>deciles</w:t>
      </w:r>
      <w:proofErr w:type="spellEnd"/>
      <w:r>
        <w:rPr>
          <w:rFonts w:eastAsiaTheme="minorEastAsia" w:hint="eastAsia"/>
          <w:sz w:val="22"/>
          <w:lang w:eastAsia="zh-CN"/>
        </w:rPr>
        <w:t xml:space="preserve"> (figure A3.4).These results gives some confidences that coefficient estimates are stable and are not influenced by spatial correlations. </w:t>
      </w:r>
      <w:proofErr w:type="gramStart"/>
      <w:r>
        <w:rPr>
          <w:rFonts w:eastAsiaTheme="minorEastAsia" w:hint="eastAsia"/>
          <w:sz w:val="22"/>
          <w:lang w:eastAsia="zh-CN"/>
        </w:rPr>
        <w:t>Hence ,</w:t>
      </w:r>
      <w:proofErr w:type="gramEnd"/>
      <w:r>
        <w:rPr>
          <w:rFonts w:eastAsiaTheme="minorEastAsia" w:hint="eastAsia"/>
          <w:sz w:val="22"/>
          <w:lang w:eastAsia="zh-CN"/>
        </w:rPr>
        <w:t xml:space="preserve"> OLS and </w:t>
      </w:r>
      <w:proofErr w:type="spellStart"/>
      <w:r>
        <w:rPr>
          <w:rFonts w:eastAsiaTheme="minorEastAsia" w:hint="eastAsia"/>
          <w:sz w:val="22"/>
          <w:lang w:eastAsia="zh-CN"/>
        </w:rPr>
        <w:t>quantile</w:t>
      </w:r>
      <w:proofErr w:type="spellEnd"/>
      <w:r>
        <w:rPr>
          <w:rFonts w:eastAsiaTheme="minorEastAsia" w:hint="eastAsia"/>
          <w:sz w:val="22"/>
          <w:lang w:eastAsia="zh-CN"/>
        </w:rPr>
        <w:t xml:space="preserve"> regression estimates are unlikely biased, but inefficient in some degrees.</w:t>
      </w:r>
    </w:p>
    <w:p w:rsidR="005D568A" w:rsidRPr="001E45F6" w:rsidRDefault="005D568A" w:rsidP="005D568A">
      <w:pPr>
        <w:spacing w:after="200" w:line="276" w:lineRule="auto"/>
        <w:rPr>
          <w:rFonts w:eastAsiaTheme="minorEastAsia"/>
          <w:sz w:val="22"/>
          <w:lang w:eastAsia="zh-CN"/>
        </w:rPr>
      </w:pPr>
      <w:r>
        <w:rPr>
          <w:rFonts w:eastAsiaTheme="minorEastAsia" w:hint="eastAsia"/>
          <w:sz w:val="22"/>
          <w:lang w:eastAsia="zh-CN"/>
        </w:rPr>
        <w:t>Figure A3.1 Density distribution of spatial correlation</w:t>
      </w:r>
    </w:p>
    <w:p w:rsidR="005D568A" w:rsidRDefault="005D568A" w:rsidP="005D568A">
      <w:pPr>
        <w:spacing w:after="200" w:line="276" w:lineRule="auto"/>
        <w:rPr>
          <w:rFonts w:eastAsiaTheme="minorEastAsia"/>
          <w:sz w:val="28"/>
          <w:szCs w:val="28"/>
          <w:lang w:eastAsia="zh-CN"/>
        </w:rPr>
      </w:pPr>
      <w:r>
        <w:rPr>
          <w:noProof/>
          <w:sz w:val="28"/>
          <w:szCs w:val="28"/>
          <w:lang w:eastAsia="en-NZ"/>
        </w:rPr>
        <w:drawing>
          <wp:inline distT="0" distB="0" distL="0" distR="0" wp14:anchorId="0E347CEE" wp14:editId="0EA974BB">
            <wp:extent cx="3447719" cy="1885851"/>
            <wp:effectExtent l="19050" t="0" r="331" b="0"/>
            <wp:docPr id="8" name="图片 7" descr="new_corr_dens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corr_density.bmp"/>
                    <pic:cNvPicPr/>
                  </pic:nvPicPr>
                  <pic:blipFill>
                    <a:blip r:embed="rId22" cstate="print"/>
                    <a:srcRect t="17915" r="5591" b="4829"/>
                    <a:stretch>
                      <a:fillRect/>
                    </a:stretch>
                  </pic:blipFill>
                  <pic:spPr>
                    <a:xfrm>
                      <a:off x="0" y="0"/>
                      <a:ext cx="3447719" cy="1885851"/>
                    </a:xfrm>
                    <a:prstGeom prst="rect">
                      <a:avLst/>
                    </a:prstGeom>
                  </pic:spPr>
                </pic:pic>
              </a:graphicData>
            </a:graphic>
          </wp:inline>
        </w:drawing>
      </w:r>
    </w:p>
    <w:p w:rsidR="005D568A" w:rsidRPr="00CF1E18" w:rsidRDefault="005D568A" w:rsidP="005D568A">
      <w:pPr>
        <w:spacing w:after="200" w:line="276" w:lineRule="auto"/>
        <w:rPr>
          <w:rFonts w:eastAsiaTheme="minorEastAsia"/>
          <w:sz w:val="22"/>
          <w:lang w:eastAsia="zh-CN"/>
        </w:rPr>
      </w:pPr>
      <w:r>
        <w:rPr>
          <w:rFonts w:eastAsiaTheme="minorEastAsia" w:hint="eastAsia"/>
          <w:sz w:val="22"/>
          <w:lang w:eastAsia="zh-CN"/>
        </w:rPr>
        <w:t>Figure A3.2 Density distributions of MUL2 and MUL3 coefficients</w:t>
      </w:r>
    </w:p>
    <w:p w:rsidR="005D568A" w:rsidRDefault="005D568A" w:rsidP="005D568A">
      <w:pPr>
        <w:spacing w:after="200" w:line="276" w:lineRule="auto"/>
        <w:rPr>
          <w:rFonts w:eastAsiaTheme="minorEastAsia"/>
          <w:sz w:val="28"/>
          <w:szCs w:val="28"/>
          <w:lang w:eastAsia="zh-CN"/>
        </w:rPr>
      </w:pPr>
      <w:r>
        <w:rPr>
          <w:rFonts w:eastAsiaTheme="minorEastAsia" w:hint="eastAsia"/>
          <w:noProof/>
          <w:sz w:val="28"/>
          <w:szCs w:val="28"/>
          <w:lang w:eastAsia="en-NZ"/>
        </w:rPr>
        <w:drawing>
          <wp:inline distT="0" distB="0" distL="0" distR="0" wp14:anchorId="65FCEA7C" wp14:editId="32BC80C6">
            <wp:extent cx="3590842" cy="2321781"/>
            <wp:effectExtent l="19050" t="0" r="0" b="0"/>
            <wp:docPr id="17" name="图片 16" descr="new_density_m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ensity_mul.bmp"/>
                    <pic:cNvPicPr/>
                  </pic:nvPicPr>
                  <pic:blipFill>
                    <a:blip r:embed="rId23" cstate="print"/>
                    <a:srcRect t="4886" r="1741"/>
                    <a:stretch>
                      <a:fillRect/>
                    </a:stretch>
                  </pic:blipFill>
                  <pic:spPr>
                    <a:xfrm>
                      <a:off x="0" y="0"/>
                      <a:ext cx="3590842" cy="2321781"/>
                    </a:xfrm>
                    <a:prstGeom prst="rect">
                      <a:avLst/>
                    </a:prstGeom>
                  </pic:spPr>
                </pic:pic>
              </a:graphicData>
            </a:graphic>
          </wp:inline>
        </w:drawing>
      </w:r>
    </w:p>
    <w:p w:rsidR="005D568A" w:rsidRDefault="005D568A" w:rsidP="005D568A">
      <w:pPr>
        <w:spacing w:after="200" w:line="276" w:lineRule="auto"/>
        <w:rPr>
          <w:rFonts w:eastAsiaTheme="minorEastAsia"/>
          <w:sz w:val="22"/>
          <w:lang w:eastAsia="zh-CN"/>
        </w:rPr>
      </w:pPr>
      <w:r>
        <w:rPr>
          <w:rFonts w:eastAsiaTheme="minorEastAsia"/>
          <w:sz w:val="22"/>
          <w:lang w:eastAsia="zh-CN"/>
        </w:rPr>
        <w:br w:type="page"/>
      </w:r>
    </w:p>
    <w:p w:rsidR="005D568A" w:rsidRPr="00CF1E18" w:rsidRDefault="005D568A" w:rsidP="005D568A">
      <w:pPr>
        <w:spacing w:after="200" w:line="276" w:lineRule="auto"/>
        <w:rPr>
          <w:rFonts w:eastAsiaTheme="minorEastAsia"/>
          <w:sz w:val="22"/>
          <w:lang w:eastAsia="zh-CN"/>
        </w:rPr>
      </w:pPr>
      <w:r>
        <w:rPr>
          <w:rFonts w:eastAsiaTheme="minorEastAsia" w:hint="eastAsia"/>
          <w:sz w:val="22"/>
          <w:lang w:eastAsia="zh-CN"/>
        </w:rPr>
        <w:lastRenderedPageBreak/>
        <w:t>Figure A3.3 Scatter-plots of MUL2 and MUL3 coefficients with spatial correlations</w:t>
      </w:r>
    </w:p>
    <w:p w:rsidR="005D568A" w:rsidRDefault="005D568A" w:rsidP="005D568A">
      <w:pPr>
        <w:spacing w:after="200" w:line="276" w:lineRule="auto"/>
        <w:rPr>
          <w:rFonts w:eastAsiaTheme="minorEastAsia"/>
          <w:sz w:val="28"/>
          <w:szCs w:val="28"/>
          <w:lang w:eastAsia="zh-CN"/>
        </w:rPr>
      </w:pPr>
      <w:r>
        <w:rPr>
          <w:rFonts w:eastAsiaTheme="minorEastAsia" w:hint="eastAsia"/>
          <w:noProof/>
          <w:sz w:val="28"/>
          <w:szCs w:val="28"/>
          <w:lang w:eastAsia="en-NZ"/>
        </w:rPr>
        <w:drawing>
          <wp:inline distT="0" distB="0" distL="0" distR="0" wp14:anchorId="30AA2740" wp14:editId="0AB09367">
            <wp:extent cx="4572000" cy="2695575"/>
            <wp:effectExtent l="19050" t="0" r="0" b="0"/>
            <wp:docPr id="19" name="图片 18" descr="new_scatter_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catter_OLS.bmp"/>
                    <pic:cNvPicPr/>
                  </pic:nvPicPr>
                  <pic:blipFill>
                    <a:blip r:embed="rId24" cstate="print"/>
                    <a:srcRect t="11563"/>
                    <a:stretch>
                      <a:fillRect/>
                    </a:stretch>
                  </pic:blipFill>
                  <pic:spPr>
                    <a:xfrm>
                      <a:off x="0" y="0"/>
                      <a:ext cx="4572000" cy="2695575"/>
                    </a:xfrm>
                    <a:prstGeom prst="rect">
                      <a:avLst/>
                    </a:prstGeom>
                  </pic:spPr>
                </pic:pic>
              </a:graphicData>
            </a:graphic>
          </wp:inline>
        </w:drawing>
      </w:r>
    </w:p>
    <w:p w:rsidR="005D568A" w:rsidRPr="00CF1E18" w:rsidRDefault="005D568A" w:rsidP="005D568A">
      <w:pPr>
        <w:spacing w:after="200" w:line="276" w:lineRule="auto"/>
        <w:rPr>
          <w:rFonts w:eastAsiaTheme="minorEastAsia"/>
          <w:sz w:val="22"/>
          <w:lang w:eastAsia="zh-CN"/>
        </w:rPr>
      </w:pPr>
      <w:r>
        <w:rPr>
          <w:rFonts w:eastAsiaTheme="minorEastAsia" w:hint="eastAsia"/>
          <w:sz w:val="22"/>
          <w:lang w:eastAsia="zh-CN"/>
        </w:rPr>
        <w:t>Figure A3.4 Bootstrapped MUL2 and MUL3 coefficients</w:t>
      </w:r>
    </w:p>
    <w:p w:rsidR="005D568A" w:rsidRDefault="005D568A" w:rsidP="005D568A">
      <w:pPr>
        <w:spacing w:after="200" w:line="276" w:lineRule="auto"/>
        <w:rPr>
          <w:rFonts w:eastAsiaTheme="minorEastAsia"/>
          <w:sz w:val="28"/>
          <w:szCs w:val="28"/>
          <w:lang w:eastAsia="zh-CN"/>
        </w:rPr>
      </w:pPr>
      <w:r>
        <w:rPr>
          <w:rFonts w:eastAsiaTheme="minorEastAsia" w:hint="eastAsia"/>
          <w:noProof/>
          <w:sz w:val="28"/>
          <w:szCs w:val="28"/>
          <w:lang w:eastAsia="en-NZ"/>
        </w:rPr>
        <w:drawing>
          <wp:inline distT="0" distB="0" distL="0" distR="0" wp14:anchorId="41F2E887" wp14:editId="1ECF67AD">
            <wp:extent cx="4448175" cy="2647950"/>
            <wp:effectExtent l="19050" t="0" r="9525" b="0"/>
            <wp:docPr id="20" name="图片 19" descr="new_quant_m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quant_mul.bmp"/>
                    <pic:cNvPicPr/>
                  </pic:nvPicPr>
                  <pic:blipFill>
                    <a:blip r:embed="rId25" cstate="print"/>
                    <a:srcRect t="13125" r="2708"/>
                    <a:stretch>
                      <a:fillRect/>
                    </a:stretch>
                  </pic:blipFill>
                  <pic:spPr>
                    <a:xfrm>
                      <a:off x="0" y="0"/>
                      <a:ext cx="4448175" cy="2647950"/>
                    </a:xfrm>
                    <a:prstGeom prst="rect">
                      <a:avLst/>
                    </a:prstGeom>
                  </pic:spPr>
                </pic:pic>
              </a:graphicData>
            </a:graphic>
          </wp:inline>
        </w:drawing>
      </w:r>
    </w:p>
    <w:p w:rsidR="00466662" w:rsidRPr="00B47BE4" w:rsidRDefault="00466662" w:rsidP="00466662">
      <w:pPr>
        <w:rPr>
          <w:rFonts w:eastAsiaTheme="minorEastAsia"/>
          <w:sz w:val="18"/>
          <w:szCs w:val="18"/>
          <w:lang w:eastAsia="zh-CN"/>
        </w:rPr>
      </w:pPr>
      <w:r w:rsidRPr="00B47BE4">
        <w:rPr>
          <w:rFonts w:eastAsiaTheme="minorEastAsia"/>
          <w:sz w:val="18"/>
          <w:szCs w:val="18"/>
          <w:lang w:eastAsia="zh-CN"/>
        </w:rPr>
        <w:t xml:space="preserve">Note: </w:t>
      </w:r>
      <w:r>
        <w:rPr>
          <w:sz w:val="18"/>
          <w:szCs w:val="18"/>
        </w:rPr>
        <w:t xml:space="preserve">Solid and dash lines represent </w:t>
      </w:r>
      <w:r w:rsidR="00272E5B">
        <w:rPr>
          <w:sz w:val="18"/>
          <w:szCs w:val="18"/>
        </w:rPr>
        <w:t>estimates and 95% bootstrapped confidence interval</w:t>
      </w:r>
    </w:p>
    <w:p w:rsidR="00466662" w:rsidRPr="00F8248D" w:rsidRDefault="00466662" w:rsidP="005D568A">
      <w:pPr>
        <w:spacing w:after="200" w:line="276" w:lineRule="auto"/>
        <w:rPr>
          <w:rFonts w:eastAsiaTheme="minorEastAsia"/>
          <w:sz w:val="28"/>
          <w:szCs w:val="28"/>
          <w:lang w:eastAsia="zh-CN"/>
        </w:rPr>
      </w:pPr>
    </w:p>
    <w:p w:rsidR="005D568A" w:rsidRPr="00371F0D" w:rsidRDefault="005D568A" w:rsidP="005D568A">
      <w:pPr>
        <w:spacing w:after="200" w:line="276" w:lineRule="auto"/>
        <w:rPr>
          <w:rFonts w:eastAsiaTheme="minorEastAsia"/>
          <w:sz w:val="28"/>
          <w:szCs w:val="28"/>
          <w:lang w:eastAsia="zh-CN"/>
        </w:rPr>
      </w:pPr>
    </w:p>
    <w:p w:rsidR="005D568A" w:rsidRPr="003E6A42" w:rsidRDefault="005D568A" w:rsidP="005D568A">
      <w:pPr>
        <w:spacing w:after="200" w:line="276" w:lineRule="auto"/>
        <w:rPr>
          <w:sz w:val="28"/>
          <w:szCs w:val="28"/>
        </w:rPr>
      </w:pPr>
    </w:p>
    <w:p w:rsidR="001615AF" w:rsidRDefault="001615AF"/>
    <w:sectPr w:rsidR="001615AF" w:rsidSect="001B432F">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352" w:rsidRDefault="000A4352" w:rsidP="005D568A">
      <w:r>
        <w:separator/>
      </w:r>
    </w:p>
  </w:endnote>
  <w:endnote w:type="continuationSeparator" w:id="0">
    <w:p w:rsidR="000A4352" w:rsidRDefault="000A4352" w:rsidP="005D5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venirMaoriLight">
    <w:altName w:val="Bell MT"/>
    <w:panose1 w:val="02000503040000020003"/>
    <w:charset w:val="00"/>
    <w:family w:val="auto"/>
    <w:pitch w:val="variable"/>
    <w:sig w:usb0="800000AF" w:usb1="40000048" w:usb2="00000000" w:usb3="00000000" w:csb0="00000001" w:csb1="00000000"/>
  </w:font>
  <w:font w:name="Calibri">
    <w:panose1 w:val="020F0502020204030204"/>
    <w:charset w:val="00"/>
    <w:family w:val="swiss"/>
    <w:pitch w:val="variable"/>
    <w:sig w:usb0="E10002FF" w:usb1="4000ACFF" w:usb2="00000009" w:usb3="00000000" w:csb0="0000019F" w:csb1="00000000"/>
  </w:font>
  <w:font w:name="AvenirMaoriBold">
    <w:altName w:val="Rockwell Extra Bold"/>
    <w:panose1 w:val="02000903000000020003"/>
    <w:charset w:val="00"/>
    <w:family w:val="auto"/>
    <w:pitch w:val="variable"/>
    <w:sig w:usb0="800000A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altName w:val="Century Gothic"/>
    <w:panose1 w:val="020B0402020203020204"/>
    <w:charset w:val="00"/>
    <w:family w:val="swiss"/>
    <w:notTrueType/>
    <w:pitch w:val="variable"/>
    <w:sig w:usb0="800000AF" w:usb1="4000204A"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352" w:rsidRDefault="000A4352" w:rsidP="005D568A">
      <w:r>
        <w:separator/>
      </w:r>
    </w:p>
  </w:footnote>
  <w:footnote w:type="continuationSeparator" w:id="0">
    <w:p w:rsidR="000A4352" w:rsidRDefault="000A4352" w:rsidP="005D568A">
      <w:r>
        <w:continuationSeparator/>
      </w:r>
    </w:p>
  </w:footnote>
  <w:footnote w:id="1">
    <w:p w:rsidR="000A4352" w:rsidRPr="00723599" w:rsidRDefault="000A4352" w:rsidP="00723599">
      <w:pPr>
        <w:rPr>
          <w:color w:val="1F497D"/>
          <w:sz w:val="18"/>
          <w:szCs w:val="18"/>
        </w:rPr>
      </w:pPr>
      <w:r>
        <w:rPr>
          <w:rStyle w:val="FootnoteReference"/>
        </w:rPr>
        <w:footnoteRef/>
      </w:r>
      <w:r>
        <w:t xml:space="preserve"> </w:t>
      </w:r>
      <w:r w:rsidRPr="00723599">
        <w:rPr>
          <w:sz w:val="18"/>
          <w:szCs w:val="18"/>
        </w:rPr>
        <w:t>The views, opinions, findings, and conclusions or recommendations expressed in this paper are strictly those of the author(s). They do not necessarily reflect the vie</w:t>
      </w:r>
      <w:r>
        <w:rPr>
          <w:sz w:val="18"/>
          <w:szCs w:val="18"/>
        </w:rPr>
        <w:t xml:space="preserve">ws of </w:t>
      </w:r>
      <w:r w:rsidRPr="00723599">
        <w:rPr>
          <w:sz w:val="18"/>
          <w:szCs w:val="18"/>
        </w:rPr>
        <w:t>the New Zealand Productivity Commission or the New Zealand Government.  The New Zealand Productivity Commission and the New Zealand Government take no responsibility for any errors or omissions in, or for the correctness of, the information contained in this paper. The paper is presented not as policy, but with a view to inform and stimulate wider debate.</w:t>
      </w:r>
      <w:r>
        <w:rPr>
          <w:sz w:val="18"/>
          <w:szCs w:val="18"/>
        </w:rPr>
        <w:t xml:space="preserve"> The author can be contacted </w:t>
      </w:r>
      <w:hyperlink r:id="rId1" w:history="1">
        <w:r w:rsidRPr="00783B1F">
          <w:rPr>
            <w:rStyle w:val="Hyperlink"/>
            <w:sz w:val="18"/>
            <w:szCs w:val="18"/>
          </w:rPr>
          <w:t>Guanyu.zheng@productivity.govt.nz</w:t>
        </w:r>
      </w:hyperlink>
    </w:p>
    <w:p w:rsidR="000A4352" w:rsidRDefault="000A4352">
      <w:pPr>
        <w:pStyle w:val="FootnoteText"/>
      </w:pPr>
    </w:p>
  </w:footnote>
  <w:footnote w:id="2">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Use method from </w:t>
      </w:r>
      <w:proofErr w:type="spellStart"/>
      <w:r w:rsidRPr="001A1FE5">
        <w:rPr>
          <w:color w:val="000000"/>
          <w:sz w:val="16"/>
          <w:szCs w:val="16"/>
        </w:rPr>
        <w:t>Koenker</w:t>
      </w:r>
      <w:proofErr w:type="spellEnd"/>
      <w:r w:rsidRPr="001A1FE5">
        <w:rPr>
          <w:color w:val="000000"/>
          <w:sz w:val="16"/>
          <w:szCs w:val="16"/>
        </w:rPr>
        <w:t xml:space="preserve">, R. W. (2005) and standard-error is calculate by kernel estimate of the sandwich as proposed by </w:t>
      </w:r>
      <w:proofErr w:type="gramStart"/>
      <w:r w:rsidRPr="001A1FE5">
        <w:rPr>
          <w:color w:val="000000"/>
          <w:sz w:val="16"/>
          <w:szCs w:val="16"/>
        </w:rPr>
        <w:t>Powell(</w:t>
      </w:r>
      <w:proofErr w:type="gramEnd"/>
      <w:r w:rsidRPr="001A1FE5">
        <w:rPr>
          <w:color w:val="000000"/>
          <w:sz w:val="16"/>
          <w:szCs w:val="16"/>
        </w:rPr>
        <w:t>1990).</w:t>
      </w:r>
    </w:p>
  </w:footnote>
  <w:footnote w:id="3">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Real median land prices are CPI-deflated land prices from QVNZ </w:t>
      </w:r>
    </w:p>
  </w:footnote>
  <w:footnote w:id="4">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w:t>
      </w:r>
      <w:proofErr w:type="spellStart"/>
      <w:r w:rsidRPr="001A1FE5">
        <w:rPr>
          <w:sz w:val="16"/>
          <w:szCs w:val="16"/>
        </w:rPr>
        <w:t>Meshblocks</w:t>
      </w:r>
      <w:proofErr w:type="spellEnd"/>
      <w:r w:rsidRPr="001A1FE5">
        <w:rPr>
          <w:sz w:val="16"/>
          <w:szCs w:val="16"/>
        </w:rPr>
        <w:t xml:space="preserve"> are defined in 2006 Census</w:t>
      </w:r>
    </w:p>
  </w:footnote>
  <w:footnote w:id="5">
    <w:p w:rsidR="000A4352" w:rsidRDefault="000A4352">
      <w:pPr>
        <w:pStyle w:val="FootnoteText"/>
      </w:pPr>
      <w:r>
        <w:rPr>
          <w:rStyle w:val="FootnoteReference"/>
        </w:rPr>
        <w:footnoteRef/>
      </w:r>
      <w:r>
        <w:t xml:space="preserve"> There are162 </w:t>
      </w:r>
      <w:proofErr w:type="spellStart"/>
      <w:r>
        <w:t>meshblocks</w:t>
      </w:r>
      <w:proofErr w:type="spellEnd"/>
      <w:r>
        <w:t xml:space="preserve"> dissected by the MUL, roughly 2% of total </w:t>
      </w:r>
      <w:proofErr w:type="spellStart"/>
      <w:r>
        <w:t>meshblocks</w:t>
      </w:r>
      <w:proofErr w:type="spellEnd"/>
      <w:r>
        <w:t xml:space="preserve"> in Auckland region</w:t>
      </w:r>
    </w:p>
  </w:footnote>
  <w:footnote w:id="6">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Islands in Auckland region are excluded. G</w:t>
      </w:r>
      <w:r>
        <w:rPr>
          <w:sz w:val="16"/>
          <w:szCs w:val="16"/>
        </w:rPr>
        <w:t>r</w:t>
      </w:r>
      <w:r w:rsidRPr="001A1FE5">
        <w:rPr>
          <w:sz w:val="16"/>
          <w:szCs w:val="16"/>
        </w:rPr>
        <w:t>aphs on MUL regions are shown in Appendix 1.</w:t>
      </w:r>
    </w:p>
  </w:footnote>
  <w:footnote w:id="7">
    <w:p w:rsidR="00474A3B" w:rsidRDefault="00474A3B">
      <w:pPr>
        <w:pStyle w:val="FootnoteText"/>
      </w:pPr>
      <w:r>
        <w:rPr>
          <w:rStyle w:val="FootnoteReference"/>
        </w:rPr>
        <w:footnoteRef/>
      </w:r>
      <w:r>
        <w:t xml:space="preserve"> </w:t>
      </w:r>
      <w:r>
        <w:rPr>
          <w:rFonts w:eastAsiaTheme="minorEastAsia" w:hint="eastAsia"/>
          <w:lang w:eastAsia="zh-CN"/>
        </w:rPr>
        <w:t xml:space="preserve">Selection of local centric nodes are given in Grimes and Liang 2009, except </w:t>
      </w:r>
      <w:proofErr w:type="spellStart"/>
      <w:r>
        <w:rPr>
          <w:rFonts w:eastAsiaTheme="minorEastAsia" w:hint="eastAsia"/>
          <w:lang w:eastAsia="zh-CN"/>
        </w:rPr>
        <w:t>Piha</w:t>
      </w:r>
      <w:proofErr w:type="spellEnd"/>
      <w:r>
        <w:rPr>
          <w:rFonts w:eastAsiaTheme="minorEastAsia" w:hint="eastAsia"/>
          <w:lang w:eastAsia="zh-CN"/>
        </w:rPr>
        <w:t xml:space="preserve"> and Omaha</w:t>
      </w:r>
    </w:p>
  </w:footnote>
  <w:footnote w:id="8">
    <w:p w:rsidR="000A4352" w:rsidRDefault="000A4352" w:rsidP="005D568A">
      <w:pPr>
        <w:pStyle w:val="FootnoteText"/>
      </w:pPr>
      <w:r w:rsidRPr="001A1FE5">
        <w:rPr>
          <w:rStyle w:val="FootnoteReference"/>
          <w:sz w:val="16"/>
          <w:szCs w:val="16"/>
        </w:rPr>
        <w:footnoteRef/>
      </w:r>
      <w:r w:rsidRPr="001A1FE5">
        <w:rPr>
          <w:sz w:val="16"/>
          <w:szCs w:val="16"/>
        </w:rPr>
        <w:t xml:space="preserve"> The quadratic terms of latitude and longitude is recommended in Pace and Gilley 1997</w:t>
      </w:r>
    </w:p>
  </w:footnote>
  <w:footnote w:id="9">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The sales data contains sale prices on properties sold each year and records the median sale prices at TA level.</w:t>
      </w:r>
    </w:p>
  </w:footnote>
  <w:footnote w:id="10">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Difference is calculated as </w:t>
      </w:r>
      <m:oMath>
        <m:r>
          <m:rPr>
            <m:sty m:val="p"/>
          </m:rPr>
          <w:rPr>
            <w:rFonts w:ascii="Cambria Math" w:hAnsi="Cambria Math"/>
            <w:sz w:val="16"/>
            <w:szCs w:val="16"/>
          </w:rPr>
          <m:t>exp(</m:t>
        </m:r>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θ</m:t>
            </m:r>
          </m:e>
          <m:sub>
            <m:r>
              <w:rPr>
                <w:rFonts w:ascii="Cambria Math" w:hAnsi="Cambria Math"/>
                <w:sz w:val="16"/>
                <w:szCs w:val="16"/>
              </w:rPr>
              <m:t>3</m:t>
            </m:r>
          </m:sub>
        </m:sSub>
        <m:r>
          <w:rPr>
            <w:rFonts w:ascii="Cambria Math" w:hAnsi="Cambria Math"/>
            <w:sz w:val="16"/>
            <w:szCs w:val="16"/>
          </w:rPr>
          <m:t>)</m:t>
        </m:r>
      </m:oMath>
      <w:r w:rsidRPr="001A1FE5">
        <w:rPr>
          <w:rFonts w:eastAsiaTheme="minorEastAsia"/>
          <w:sz w:val="16"/>
          <w:szCs w:val="16"/>
        </w:rPr>
        <w:t xml:space="preserve"> as the dependent variable in the regression is logrithmc transformed.</w:t>
      </w:r>
    </w:p>
  </w:footnote>
  <w:footnote w:id="11">
    <w:p w:rsidR="000A4352" w:rsidRPr="001A1FE5" w:rsidRDefault="000A4352" w:rsidP="005D568A">
      <w:pPr>
        <w:pStyle w:val="FootnoteText"/>
        <w:rPr>
          <w:sz w:val="16"/>
          <w:szCs w:val="16"/>
        </w:rPr>
      </w:pPr>
      <w:r w:rsidRPr="001A1FE5">
        <w:rPr>
          <w:rStyle w:val="FootnoteReference"/>
          <w:sz w:val="16"/>
          <w:szCs w:val="16"/>
        </w:rPr>
        <w:footnoteRef/>
      </w:r>
      <w:r w:rsidRPr="001A1FE5">
        <w:rPr>
          <w:sz w:val="16"/>
          <w:szCs w:val="16"/>
        </w:rPr>
        <w:t xml:space="preserve"> Urban area</w:t>
      </w:r>
      <w:r>
        <w:rPr>
          <w:sz w:val="16"/>
          <w:szCs w:val="16"/>
        </w:rPr>
        <w:t>s</w:t>
      </w:r>
      <w:r w:rsidRPr="001A1FE5">
        <w:rPr>
          <w:sz w:val="16"/>
          <w:szCs w:val="16"/>
        </w:rPr>
        <w:t xml:space="preserve"> represent MUL1 and MUL2, and rural areas represent MUL3 and MUL4.</w:t>
      </w:r>
    </w:p>
  </w:footnote>
  <w:footnote w:id="12">
    <w:p w:rsidR="000A4352" w:rsidRPr="001A1FE5" w:rsidRDefault="000A4352" w:rsidP="005D568A">
      <w:pPr>
        <w:pStyle w:val="FootnoteText"/>
        <w:rPr>
          <w:rFonts w:eastAsiaTheme="minorEastAsia"/>
          <w:sz w:val="16"/>
          <w:szCs w:val="16"/>
          <w:lang w:eastAsia="zh-CN"/>
        </w:rPr>
      </w:pPr>
      <w:r w:rsidRPr="001A1FE5">
        <w:rPr>
          <w:rStyle w:val="FootnoteReference"/>
          <w:sz w:val="16"/>
          <w:szCs w:val="16"/>
        </w:rPr>
        <w:footnoteRef/>
      </w:r>
      <w:r w:rsidRPr="001A1FE5">
        <w:rPr>
          <w:sz w:val="16"/>
          <w:szCs w:val="16"/>
        </w:rPr>
        <w:t xml:space="preserve"> </w:t>
      </w:r>
      <w:r w:rsidRPr="001A1FE5">
        <w:rPr>
          <w:rFonts w:eastAsiaTheme="minorEastAsia" w:hint="eastAsia"/>
          <w:sz w:val="16"/>
          <w:szCs w:val="16"/>
          <w:lang w:eastAsia="zh-CN"/>
        </w:rPr>
        <w:t>Moran</w:t>
      </w:r>
      <w:r w:rsidRPr="001A1FE5">
        <w:rPr>
          <w:rFonts w:eastAsiaTheme="minorEastAsia"/>
          <w:sz w:val="16"/>
          <w:szCs w:val="16"/>
          <w:lang w:eastAsia="zh-CN"/>
        </w:rPr>
        <w:t>’</w:t>
      </w:r>
      <w:r w:rsidRPr="001A1FE5">
        <w:rPr>
          <w:rFonts w:eastAsiaTheme="minorEastAsia" w:hint="eastAsia"/>
          <w:sz w:val="16"/>
          <w:szCs w:val="16"/>
          <w:lang w:eastAsia="zh-CN"/>
        </w:rPr>
        <w:t xml:space="preserve">s I test statistics are based on k-nearest neighbours. It means that each </w:t>
      </w:r>
      <w:proofErr w:type="spellStart"/>
      <w:r w:rsidRPr="001A1FE5">
        <w:rPr>
          <w:rFonts w:eastAsiaTheme="minorEastAsia" w:hint="eastAsia"/>
          <w:sz w:val="16"/>
          <w:szCs w:val="16"/>
          <w:lang w:eastAsia="zh-CN"/>
        </w:rPr>
        <w:t>meshblock</w:t>
      </w:r>
      <w:proofErr w:type="spellEnd"/>
      <w:r w:rsidRPr="001A1FE5">
        <w:rPr>
          <w:rFonts w:eastAsiaTheme="minorEastAsia" w:hint="eastAsia"/>
          <w:sz w:val="16"/>
          <w:szCs w:val="16"/>
          <w:lang w:eastAsia="zh-CN"/>
        </w:rPr>
        <w:t xml:space="preserve"> has to match exactly with 20 physically closest </w:t>
      </w:r>
      <w:proofErr w:type="spellStart"/>
      <w:r w:rsidRPr="001A1FE5">
        <w:rPr>
          <w:rFonts w:eastAsiaTheme="minorEastAsia" w:hint="eastAsia"/>
          <w:sz w:val="16"/>
          <w:szCs w:val="16"/>
          <w:lang w:eastAsia="zh-CN"/>
        </w:rPr>
        <w:t>meshblocks</w:t>
      </w:r>
      <w:proofErr w:type="spellEnd"/>
      <w:r w:rsidRPr="001A1FE5">
        <w:rPr>
          <w:rFonts w:eastAsiaTheme="minorEastAsia" w:hint="eastAsia"/>
          <w:sz w:val="16"/>
          <w:szCs w:val="16"/>
          <w:lang w:eastAsia="zh-CN"/>
        </w:rPr>
        <w:t xml:space="preserve">. Here k is set to 10 and 20. </w:t>
      </w:r>
    </w:p>
  </w:footnote>
  <w:footnote w:id="13">
    <w:p w:rsidR="000A4352" w:rsidRPr="00D92EB8" w:rsidRDefault="000A4352" w:rsidP="005D568A">
      <w:pPr>
        <w:pStyle w:val="FootnoteText"/>
        <w:rPr>
          <w:rFonts w:eastAsiaTheme="minorEastAsia"/>
          <w:lang w:eastAsia="zh-CN"/>
        </w:rPr>
      </w:pPr>
      <w:r w:rsidRPr="001A1FE5">
        <w:rPr>
          <w:rStyle w:val="FootnoteReference"/>
          <w:sz w:val="16"/>
          <w:szCs w:val="16"/>
        </w:rPr>
        <w:footnoteRef/>
      </w:r>
      <w:r w:rsidRPr="001A1FE5">
        <w:rPr>
          <w:sz w:val="16"/>
          <w:szCs w:val="16"/>
        </w:rPr>
        <w:t xml:space="preserve"> </w:t>
      </w:r>
      <w:r w:rsidRPr="001A1FE5">
        <w:rPr>
          <w:rFonts w:eastAsiaTheme="minorEastAsia" w:hint="eastAsia"/>
          <w:sz w:val="16"/>
          <w:szCs w:val="16"/>
          <w:lang w:eastAsia="zh-CN"/>
        </w:rPr>
        <w:t>Moran</w:t>
      </w:r>
      <w:r w:rsidRPr="001A1FE5">
        <w:rPr>
          <w:rFonts w:eastAsiaTheme="minorEastAsia"/>
          <w:sz w:val="16"/>
          <w:szCs w:val="16"/>
          <w:lang w:eastAsia="zh-CN"/>
        </w:rPr>
        <w:t>’</w:t>
      </w:r>
      <w:r w:rsidRPr="001A1FE5">
        <w:rPr>
          <w:rFonts w:eastAsiaTheme="minorEastAsia" w:hint="eastAsia"/>
          <w:sz w:val="16"/>
          <w:szCs w:val="16"/>
          <w:lang w:eastAsia="zh-CN"/>
        </w:rPr>
        <w:t xml:space="preserve">s I test based on k-nearest neighbours is not the best in this study. The test should be better by </w:t>
      </w:r>
      <w:r w:rsidRPr="001A1FE5">
        <w:rPr>
          <w:rFonts w:eastAsiaTheme="minorEastAsia"/>
          <w:sz w:val="16"/>
          <w:szCs w:val="16"/>
          <w:lang w:eastAsia="zh-CN"/>
        </w:rPr>
        <w:t>identifying</w:t>
      </w:r>
      <w:r w:rsidRPr="001A1FE5">
        <w:rPr>
          <w:rFonts w:eastAsiaTheme="minorEastAsia" w:hint="eastAsia"/>
          <w:sz w:val="16"/>
          <w:szCs w:val="16"/>
          <w:lang w:eastAsia="zh-CN"/>
        </w:rPr>
        <w:t xml:space="preserve"> neighbours of each region points by setting lower and upper distance bounds (e.g. between 0 and 5km). </w:t>
      </w:r>
      <w:r w:rsidRPr="001A1FE5">
        <w:rPr>
          <w:rFonts w:eastAsiaTheme="minorEastAsia"/>
          <w:sz w:val="16"/>
          <w:szCs w:val="16"/>
          <w:lang w:eastAsia="zh-CN"/>
        </w:rPr>
        <w:t>H</w:t>
      </w:r>
      <w:r w:rsidRPr="001A1FE5">
        <w:rPr>
          <w:rFonts w:eastAsiaTheme="minorEastAsia" w:hint="eastAsia"/>
          <w:sz w:val="16"/>
          <w:szCs w:val="16"/>
          <w:lang w:eastAsia="zh-CN"/>
        </w:rPr>
        <w:t xml:space="preserve">owever, the statistical package somehow refuses conducting the test when some </w:t>
      </w:r>
      <w:proofErr w:type="spellStart"/>
      <w:r w:rsidRPr="001A1FE5">
        <w:rPr>
          <w:rFonts w:eastAsiaTheme="minorEastAsia" w:hint="eastAsia"/>
          <w:sz w:val="16"/>
          <w:szCs w:val="16"/>
          <w:lang w:eastAsia="zh-CN"/>
        </w:rPr>
        <w:t>meshblocks</w:t>
      </w:r>
      <w:proofErr w:type="spellEnd"/>
      <w:r w:rsidRPr="001A1FE5">
        <w:rPr>
          <w:rFonts w:eastAsiaTheme="minorEastAsia" w:hint="eastAsia"/>
          <w:sz w:val="16"/>
          <w:szCs w:val="16"/>
          <w:lang w:eastAsia="zh-CN"/>
        </w:rPr>
        <w:t xml:space="preserve"> have no neighbours. Therefore, Moran</w:t>
      </w:r>
      <w:r w:rsidRPr="001A1FE5">
        <w:rPr>
          <w:rFonts w:eastAsiaTheme="minorEastAsia"/>
          <w:sz w:val="16"/>
          <w:szCs w:val="16"/>
          <w:lang w:eastAsia="zh-CN"/>
        </w:rPr>
        <w:t>’</w:t>
      </w:r>
      <w:r w:rsidRPr="001A1FE5">
        <w:rPr>
          <w:rFonts w:eastAsiaTheme="minorEastAsia" w:hint="eastAsia"/>
          <w:sz w:val="16"/>
          <w:szCs w:val="16"/>
          <w:lang w:eastAsia="zh-CN"/>
        </w:rPr>
        <w:t>s I test based on k-nearest neighbours is applied instead.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6C0668"/>
    <w:lvl w:ilvl="0">
      <w:start w:val="1"/>
      <w:numFmt w:val="decimal"/>
      <w:lvlText w:val="%1."/>
      <w:lvlJc w:val="left"/>
      <w:pPr>
        <w:tabs>
          <w:tab w:val="num" w:pos="1492"/>
        </w:tabs>
        <w:ind w:left="1492" w:hanging="360"/>
      </w:pPr>
    </w:lvl>
  </w:abstractNum>
  <w:abstractNum w:abstractNumId="1">
    <w:nsid w:val="FFFFFF7D"/>
    <w:multiLevelType w:val="singleLevel"/>
    <w:tmpl w:val="347E0F3C"/>
    <w:lvl w:ilvl="0">
      <w:start w:val="1"/>
      <w:numFmt w:val="decimal"/>
      <w:lvlText w:val="%1."/>
      <w:lvlJc w:val="left"/>
      <w:pPr>
        <w:tabs>
          <w:tab w:val="num" w:pos="1209"/>
        </w:tabs>
        <w:ind w:left="1209" w:hanging="360"/>
      </w:pPr>
    </w:lvl>
  </w:abstractNum>
  <w:abstractNum w:abstractNumId="2">
    <w:nsid w:val="FFFFFF7E"/>
    <w:multiLevelType w:val="singleLevel"/>
    <w:tmpl w:val="6A300DA8"/>
    <w:lvl w:ilvl="0">
      <w:start w:val="1"/>
      <w:numFmt w:val="decimal"/>
      <w:lvlText w:val="%1."/>
      <w:lvlJc w:val="left"/>
      <w:pPr>
        <w:tabs>
          <w:tab w:val="num" w:pos="926"/>
        </w:tabs>
        <w:ind w:left="926" w:hanging="360"/>
      </w:pPr>
    </w:lvl>
  </w:abstractNum>
  <w:abstractNum w:abstractNumId="3">
    <w:nsid w:val="FFFFFF7F"/>
    <w:multiLevelType w:val="singleLevel"/>
    <w:tmpl w:val="D1FAEE3E"/>
    <w:lvl w:ilvl="0">
      <w:start w:val="1"/>
      <w:numFmt w:val="decimal"/>
      <w:lvlText w:val="%1."/>
      <w:lvlJc w:val="left"/>
      <w:pPr>
        <w:tabs>
          <w:tab w:val="num" w:pos="643"/>
        </w:tabs>
        <w:ind w:left="643" w:hanging="360"/>
      </w:pPr>
    </w:lvl>
  </w:abstractNum>
  <w:abstractNum w:abstractNumId="4">
    <w:nsid w:val="FFFFFF80"/>
    <w:multiLevelType w:val="singleLevel"/>
    <w:tmpl w:val="CFA8F5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84CA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745B4A"/>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25F22D6E"/>
    <w:lvl w:ilvl="0">
      <w:start w:val="1"/>
      <w:numFmt w:val="decimal"/>
      <w:lvlText w:val="%1."/>
      <w:lvlJc w:val="left"/>
      <w:pPr>
        <w:tabs>
          <w:tab w:val="num" w:pos="360"/>
        </w:tabs>
        <w:ind w:left="360" w:hanging="360"/>
      </w:pPr>
    </w:lvl>
  </w:abstractNum>
  <w:abstractNum w:abstractNumId="8">
    <w:nsid w:val="00D63EEF"/>
    <w:multiLevelType w:val="multilevel"/>
    <w:tmpl w:val="DD76A852"/>
    <w:styleLink w:val="PCHeadingslist"/>
    <w:lvl w:ilvl="0">
      <w:start w:val="1"/>
      <w:numFmt w:val="decimal"/>
      <w:pStyle w:val="Heading1"/>
      <w:lvlText w:val="%1"/>
      <w:lvlJc w:val="left"/>
      <w:pPr>
        <w:ind w:left="851" w:hanging="851"/>
      </w:pPr>
      <w:rPr>
        <w:rFonts w:hint="default"/>
        <w:sz w:val="48"/>
      </w:rPr>
    </w:lvl>
    <w:lvl w:ilvl="1">
      <w:start w:val="1"/>
      <w:numFmt w:val="decimal"/>
      <w:pStyle w:val="Heading2"/>
      <w:lvlText w:val="%1.%2"/>
      <w:lvlJc w:val="left"/>
      <w:pPr>
        <w:ind w:left="851" w:hanging="851"/>
      </w:pPr>
      <w:rPr>
        <w:rFonts w:hint="default"/>
      </w:rPr>
    </w:lvl>
    <w:lvl w:ilvl="2">
      <w:start w:val="1"/>
      <w:numFmt w:val="decimal"/>
      <w:pStyle w:val="Numbered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nsid w:val="05FA6EB6"/>
    <w:multiLevelType w:val="multilevel"/>
    <w:tmpl w:val="A5A41806"/>
    <w:styleLink w:val="PCTableNotesList"/>
    <w:lvl w:ilvl="0">
      <w:start w:val="1"/>
      <w:numFmt w:val="decimal"/>
      <w:pStyle w:val="Notesbodytext"/>
      <w:lvlText w:val="%1."/>
      <w:lvlJc w:val="left"/>
      <w:pPr>
        <w:ind w:left="284" w:hanging="284"/>
      </w:pPr>
      <w:rPr>
        <w:rFonts w:hint="default"/>
      </w:rPr>
    </w:lvl>
    <w:lvl w:ilvl="1">
      <w:start w:val="1"/>
      <w:numFmt w:val="none"/>
      <w:lvlText w:val=""/>
      <w:lvlJc w:val="left"/>
      <w:pPr>
        <w:ind w:left="-31680" w:firstLine="0"/>
      </w:pPr>
      <w:rPr>
        <w:rFonts w:hint="default"/>
      </w:rPr>
    </w:lvl>
    <w:lvl w:ilvl="2">
      <w:start w:val="1"/>
      <w:numFmt w:val="none"/>
      <w:lvlText w:val=""/>
      <w:lvlJc w:val="left"/>
      <w:pPr>
        <w:ind w:left="-31680" w:firstLine="0"/>
      </w:pPr>
      <w:rPr>
        <w:rFonts w:hint="default"/>
      </w:rPr>
    </w:lvl>
    <w:lvl w:ilvl="3">
      <w:start w:val="1"/>
      <w:numFmt w:val="none"/>
      <w:lvlText w:val=""/>
      <w:lvlJc w:val="left"/>
      <w:pPr>
        <w:ind w:left="-31680" w:firstLine="0"/>
      </w:pPr>
      <w:rPr>
        <w:rFonts w:hint="default"/>
      </w:rPr>
    </w:lvl>
    <w:lvl w:ilvl="4">
      <w:start w:val="1"/>
      <w:numFmt w:val="none"/>
      <w:lvlText w:val=""/>
      <w:lvlJc w:val="left"/>
      <w:pPr>
        <w:ind w:left="-31680" w:firstLine="0"/>
      </w:pPr>
      <w:rPr>
        <w:rFonts w:hint="default"/>
      </w:rPr>
    </w:lvl>
    <w:lvl w:ilvl="5">
      <w:start w:val="1"/>
      <w:numFmt w:val="none"/>
      <w:lvlText w:val=""/>
      <w:lvlJc w:val="left"/>
      <w:pPr>
        <w:ind w:left="-31680" w:firstLine="0"/>
      </w:pPr>
      <w:rPr>
        <w:rFonts w:hint="default"/>
      </w:rPr>
    </w:lvl>
    <w:lvl w:ilvl="6">
      <w:start w:val="1"/>
      <w:numFmt w:val="none"/>
      <w:lvlText w:val=""/>
      <w:lvlJc w:val="left"/>
      <w:pPr>
        <w:ind w:left="-31680" w:firstLine="0"/>
      </w:pPr>
      <w:rPr>
        <w:rFonts w:hint="default"/>
      </w:rPr>
    </w:lvl>
    <w:lvl w:ilvl="7">
      <w:start w:val="1"/>
      <w:numFmt w:val="none"/>
      <w:lvlText w:val=""/>
      <w:lvlJc w:val="left"/>
      <w:pPr>
        <w:ind w:left="-31680" w:firstLine="0"/>
      </w:pPr>
      <w:rPr>
        <w:rFonts w:hint="default"/>
      </w:rPr>
    </w:lvl>
    <w:lvl w:ilvl="8">
      <w:start w:val="1"/>
      <w:numFmt w:val="none"/>
      <w:lvlText w:val=""/>
      <w:lvlJc w:val="left"/>
      <w:pPr>
        <w:ind w:left="-31680" w:firstLine="0"/>
      </w:pPr>
      <w:rPr>
        <w:rFonts w:hint="default"/>
      </w:rPr>
    </w:lvl>
  </w:abstractNum>
  <w:abstractNum w:abstractNumId="1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03479D"/>
    <w:multiLevelType w:val="multilevel"/>
    <w:tmpl w:val="73AE3806"/>
    <w:styleLink w:val="PCTablenoteslist0"/>
    <w:lvl w:ilvl="0">
      <w:start w:val="1"/>
      <w:numFmt w:val="decimal"/>
      <w:lvlText w:val="%1."/>
      <w:lvlJc w:val="left"/>
      <w:pPr>
        <w:ind w:left="284" w:hanging="284"/>
      </w:pPr>
      <w:rPr>
        <w:rFonts w:hint="default"/>
      </w:rPr>
    </w:lvl>
    <w:lvl w:ilvl="1">
      <w:start w:val="1"/>
      <w:numFmt w:val="none"/>
      <w:lvlText w:val=""/>
      <w:lvlJc w:val="left"/>
      <w:pPr>
        <w:ind w:left="-31680" w:firstLine="0"/>
      </w:pPr>
      <w:rPr>
        <w:rFonts w:hint="default"/>
      </w:rPr>
    </w:lvl>
    <w:lvl w:ilvl="2">
      <w:start w:val="1"/>
      <w:numFmt w:val="none"/>
      <w:lvlText w:val=""/>
      <w:lvlJc w:val="left"/>
      <w:pPr>
        <w:ind w:left="-31680" w:firstLine="0"/>
      </w:pPr>
      <w:rPr>
        <w:rFonts w:hint="default"/>
      </w:rPr>
    </w:lvl>
    <w:lvl w:ilvl="3">
      <w:start w:val="1"/>
      <w:numFmt w:val="none"/>
      <w:lvlText w:val=""/>
      <w:lvlJc w:val="left"/>
      <w:pPr>
        <w:ind w:left="-31680" w:firstLine="0"/>
      </w:pPr>
      <w:rPr>
        <w:rFonts w:hint="default"/>
      </w:rPr>
    </w:lvl>
    <w:lvl w:ilvl="4">
      <w:start w:val="1"/>
      <w:numFmt w:val="none"/>
      <w:lvlText w:val=""/>
      <w:lvlJc w:val="left"/>
      <w:pPr>
        <w:ind w:left="-31680" w:firstLine="0"/>
      </w:pPr>
      <w:rPr>
        <w:rFonts w:hint="default"/>
      </w:rPr>
    </w:lvl>
    <w:lvl w:ilvl="5">
      <w:start w:val="1"/>
      <w:numFmt w:val="none"/>
      <w:lvlText w:val=""/>
      <w:lvlJc w:val="left"/>
      <w:pPr>
        <w:ind w:left="-31680" w:firstLine="0"/>
      </w:pPr>
      <w:rPr>
        <w:rFonts w:hint="default"/>
      </w:rPr>
    </w:lvl>
    <w:lvl w:ilvl="6">
      <w:start w:val="1"/>
      <w:numFmt w:val="none"/>
      <w:lvlText w:val=""/>
      <w:lvlJc w:val="left"/>
      <w:pPr>
        <w:ind w:left="-31680" w:firstLine="0"/>
      </w:pPr>
      <w:rPr>
        <w:rFonts w:hint="default"/>
      </w:rPr>
    </w:lvl>
    <w:lvl w:ilvl="7">
      <w:start w:val="1"/>
      <w:numFmt w:val="none"/>
      <w:lvlText w:val=""/>
      <w:lvlJc w:val="left"/>
      <w:pPr>
        <w:ind w:left="-31680" w:firstLine="0"/>
      </w:pPr>
      <w:rPr>
        <w:rFonts w:hint="default"/>
      </w:rPr>
    </w:lvl>
    <w:lvl w:ilvl="8">
      <w:start w:val="1"/>
      <w:numFmt w:val="none"/>
      <w:lvlText w:val=""/>
      <w:lvlJc w:val="left"/>
      <w:pPr>
        <w:ind w:left="-31680" w:firstLine="0"/>
      </w:pPr>
      <w:rPr>
        <w:rFonts w:hint="default"/>
      </w:rPr>
    </w:lvl>
  </w:abstractNum>
  <w:abstractNum w:abstractNumId="12">
    <w:nsid w:val="19D652E4"/>
    <w:multiLevelType w:val="multilevel"/>
    <w:tmpl w:val="DFD22862"/>
    <w:styleLink w:val="PCAlphalist"/>
    <w:lvl w:ilvl="0">
      <w:start w:val="1"/>
      <w:numFmt w:val="lowerLetter"/>
      <w:pStyle w:val="Alphalist"/>
      <w:lvlText w:val="%1)"/>
      <w:lvlJc w:val="left"/>
      <w:pPr>
        <w:tabs>
          <w:tab w:val="num" w:pos="340"/>
        </w:tabs>
        <w:ind w:left="340" w:hanging="34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nsid w:val="1D28300C"/>
    <w:multiLevelType w:val="multilevel"/>
    <w:tmpl w:val="97F89B04"/>
    <w:styleLink w:val="PCNumberedlist"/>
    <w:lvl w:ilvl="0">
      <w:start w:val="1"/>
      <w:numFmt w:val="decimal"/>
      <w:lvlText w:val="%1."/>
      <w:lvlJc w:val="left"/>
      <w:pPr>
        <w:tabs>
          <w:tab w:val="num" w:pos="340"/>
        </w:tabs>
        <w:ind w:left="340" w:hanging="34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nsid w:val="24133363"/>
    <w:multiLevelType w:val="multilevel"/>
    <w:tmpl w:val="A27E4586"/>
    <w:styleLink w:val="PCBullets"/>
    <w:lvl w:ilvl="0">
      <w:start w:val="1"/>
      <w:numFmt w:val="bullet"/>
      <w:pStyle w:val="Bullet1Orange"/>
      <w:lvlText w:val=""/>
      <w:lvlJc w:val="left"/>
      <w:pPr>
        <w:tabs>
          <w:tab w:val="num" w:pos="340"/>
        </w:tabs>
        <w:ind w:left="340" w:hanging="340"/>
      </w:pPr>
      <w:rPr>
        <w:rFonts w:ascii="Wingdings 2" w:hAnsi="Wingdings 2" w:hint="default"/>
        <w:color w:val="DC8633"/>
      </w:rPr>
    </w:lvl>
    <w:lvl w:ilvl="1">
      <w:start w:val="1"/>
      <w:numFmt w:val="bullet"/>
      <w:pStyle w:val="Bullet2Orange"/>
      <w:lvlText w:val="-"/>
      <w:lvlJc w:val="left"/>
      <w:pPr>
        <w:tabs>
          <w:tab w:val="num" w:pos="680"/>
        </w:tabs>
        <w:ind w:left="680" w:hanging="340"/>
      </w:pPr>
      <w:rPr>
        <w:rFonts w:ascii="Times New Roman" w:hAnsi="Times New Roman" w:cs="Times New Roman" w:hint="default"/>
        <w:color w:val="DC863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2D6C3CEF"/>
    <w:multiLevelType w:val="multilevel"/>
    <w:tmpl w:val="062AEC9C"/>
    <w:styleLink w:val="PCTableBulletList"/>
    <w:lvl w:ilvl="0">
      <w:start w:val="1"/>
      <w:numFmt w:val="bullet"/>
      <w:pStyle w:val="TableBullet"/>
      <w:lvlText w:val=""/>
      <w:lvlJc w:val="left"/>
      <w:pPr>
        <w:tabs>
          <w:tab w:val="num" w:pos="284"/>
        </w:tabs>
        <w:ind w:left="284" w:hanging="284"/>
      </w:pPr>
      <w:rPr>
        <w:rFonts w:ascii="Wingdings 2" w:hAnsi="Wingdings 2"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2E732A90"/>
    <w:multiLevelType w:val="hybridMultilevel"/>
    <w:tmpl w:val="83CEDE9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01000A8"/>
    <w:multiLevelType w:val="hybridMultilevel"/>
    <w:tmpl w:val="0ACA6D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4A71C6D"/>
    <w:multiLevelType w:val="multilevel"/>
    <w:tmpl w:val="3EC6C600"/>
    <w:styleLink w:val="PCBoxList"/>
    <w:lvl w:ilvl="0">
      <w:start w:val="1"/>
      <w:numFmt w:val="decimal"/>
      <w:lvlText w:val="Box %1"/>
      <w:lvlJc w:val="left"/>
      <w:pPr>
        <w:ind w:left="964" w:hanging="964"/>
      </w:pPr>
      <w:rPr>
        <w:rFonts w:ascii="AvenirMaoriLight" w:hAnsi="AvenirMaoriLight" w:hint="default"/>
        <w:b w:val="0"/>
        <w:i w:val="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7904C02"/>
    <w:multiLevelType w:val="hybridMultilevel"/>
    <w:tmpl w:val="59BC1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C096284"/>
    <w:multiLevelType w:val="multilevel"/>
    <w:tmpl w:val="97F89B04"/>
    <w:lvl w:ilvl="0">
      <w:start w:val="1"/>
      <w:numFmt w:val="decimal"/>
      <w:pStyle w:val="Numberedlist"/>
      <w:lvlText w:val="%1."/>
      <w:lvlJc w:val="left"/>
      <w:pPr>
        <w:tabs>
          <w:tab w:val="num" w:pos="340"/>
        </w:tabs>
        <w:ind w:left="340" w:hanging="34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46753842"/>
    <w:multiLevelType w:val="hybridMultilevel"/>
    <w:tmpl w:val="49A228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CF17799"/>
    <w:multiLevelType w:val="multilevel"/>
    <w:tmpl w:val="F28EF6BC"/>
    <w:styleLink w:val="PCTablenotes"/>
    <w:lvl w:ilvl="0">
      <w:start w:val="1"/>
      <w:numFmt w:val="decimal"/>
      <w:lvlText w:val="%1."/>
      <w:lvlJc w:val="left"/>
      <w:pPr>
        <w:ind w:left="284" w:hanging="284"/>
      </w:pPr>
      <w:rPr>
        <w:rFonts w:hint="default"/>
      </w:rPr>
    </w:lvl>
    <w:lvl w:ilvl="1">
      <w:start w:val="1"/>
      <w:numFmt w:val="none"/>
      <w:lvlText w:val=""/>
      <w:lvlJc w:val="left"/>
      <w:pPr>
        <w:ind w:left="-31680" w:firstLine="0"/>
      </w:pPr>
      <w:rPr>
        <w:rFonts w:hint="default"/>
      </w:rPr>
    </w:lvl>
    <w:lvl w:ilvl="2">
      <w:start w:val="1"/>
      <w:numFmt w:val="none"/>
      <w:lvlText w:val=""/>
      <w:lvlJc w:val="left"/>
      <w:pPr>
        <w:ind w:left="-31680" w:firstLine="0"/>
      </w:pPr>
      <w:rPr>
        <w:rFonts w:hint="default"/>
      </w:rPr>
    </w:lvl>
    <w:lvl w:ilvl="3">
      <w:start w:val="1"/>
      <w:numFmt w:val="none"/>
      <w:lvlText w:val=""/>
      <w:lvlJc w:val="left"/>
      <w:pPr>
        <w:ind w:left="-31680" w:firstLine="0"/>
      </w:pPr>
      <w:rPr>
        <w:rFonts w:hint="default"/>
      </w:rPr>
    </w:lvl>
    <w:lvl w:ilvl="4">
      <w:start w:val="1"/>
      <w:numFmt w:val="none"/>
      <w:lvlText w:val=""/>
      <w:lvlJc w:val="left"/>
      <w:pPr>
        <w:ind w:left="-31680" w:firstLine="0"/>
      </w:pPr>
      <w:rPr>
        <w:rFonts w:hint="default"/>
      </w:rPr>
    </w:lvl>
    <w:lvl w:ilvl="5">
      <w:start w:val="1"/>
      <w:numFmt w:val="none"/>
      <w:lvlText w:val=""/>
      <w:lvlJc w:val="left"/>
      <w:pPr>
        <w:ind w:left="-31680" w:firstLine="0"/>
      </w:pPr>
      <w:rPr>
        <w:rFonts w:hint="default"/>
      </w:rPr>
    </w:lvl>
    <w:lvl w:ilvl="6">
      <w:start w:val="1"/>
      <w:numFmt w:val="none"/>
      <w:lvlText w:val=""/>
      <w:lvlJc w:val="left"/>
      <w:pPr>
        <w:ind w:left="-31680" w:firstLine="0"/>
      </w:pPr>
      <w:rPr>
        <w:rFonts w:hint="default"/>
      </w:rPr>
    </w:lvl>
    <w:lvl w:ilvl="7">
      <w:start w:val="1"/>
      <w:numFmt w:val="none"/>
      <w:lvlText w:val=""/>
      <w:lvlJc w:val="left"/>
      <w:pPr>
        <w:ind w:left="-31680" w:firstLine="0"/>
      </w:pPr>
      <w:rPr>
        <w:rFonts w:hint="default"/>
      </w:rPr>
    </w:lvl>
    <w:lvl w:ilvl="8">
      <w:start w:val="1"/>
      <w:numFmt w:val="none"/>
      <w:lvlText w:val=""/>
      <w:lvlJc w:val="left"/>
      <w:pPr>
        <w:ind w:left="-31680" w:firstLine="0"/>
      </w:pPr>
      <w:rPr>
        <w:rFonts w:hint="default"/>
      </w:rPr>
    </w:lvl>
  </w:abstractNum>
  <w:abstractNum w:abstractNumId="23">
    <w:nsid w:val="521E1C33"/>
    <w:multiLevelType w:val="hybridMultilevel"/>
    <w:tmpl w:val="18A6FEDC"/>
    <w:lvl w:ilvl="0" w:tplc="6FB043C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76D420F"/>
    <w:multiLevelType w:val="multilevel"/>
    <w:tmpl w:val="87FAF4E0"/>
    <w:styleLink w:val="PCAppendix"/>
    <w:lvl w:ilvl="0">
      <w:start w:val="1"/>
      <w:numFmt w:val="upperLetter"/>
      <w:pStyle w:val="Heading7"/>
      <w:lvlText w:val="Appendix %1"/>
      <w:lvlJc w:val="left"/>
      <w:pPr>
        <w:tabs>
          <w:tab w:val="num" w:pos="2693"/>
        </w:tabs>
        <w:ind w:left="2693" w:hanging="2693"/>
      </w:pPr>
      <w:rPr>
        <w:rFonts w:hint="default"/>
      </w:rPr>
    </w:lvl>
    <w:lvl w:ilvl="1">
      <w:start w:val="1"/>
      <w:numFmt w:val="decimal"/>
      <w:pStyle w:val="Appendixsubheading"/>
      <w:lvlText w:val="%1.%2"/>
      <w:lvlJc w:val="left"/>
      <w:pPr>
        <w:tabs>
          <w:tab w:val="num" w:pos="851"/>
        </w:tabs>
        <w:ind w:left="851" w:hanging="85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5C7B2B68"/>
    <w:multiLevelType w:val="multilevel"/>
    <w:tmpl w:val="66624E4C"/>
    <w:styleLink w:val="PCBulletBlue"/>
    <w:lvl w:ilvl="0">
      <w:start w:val="1"/>
      <w:numFmt w:val="bullet"/>
      <w:pStyle w:val="Bullet1Blue"/>
      <w:lvlText w:val=""/>
      <w:lvlJc w:val="left"/>
      <w:pPr>
        <w:ind w:left="340" w:hanging="340"/>
      </w:pPr>
      <w:rPr>
        <w:rFonts w:ascii="Wingdings 2" w:hAnsi="Wingdings 2" w:hint="default"/>
        <w:color w:val="4298B5"/>
      </w:rPr>
    </w:lvl>
    <w:lvl w:ilvl="1">
      <w:start w:val="1"/>
      <w:numFmt w:val="bullet"/>
      <w:pStyle w:val="Bullet2Blue"/>
      <w:lvlText w:val="-"/>
      <w:lvlJc w:val="left"/>
      <w:pPr>
        <w:tabs>
          <w:tab w:val="num" w:pos="680"/>
        </w:tabs>
        <w:ind w:left="680" w:hanging="340"/>
      </w:pPr>
      <w:rPr>
        <w:rFonts w:ascii="Times New Roman" w:hAnsi="Times New Roman" w:cs="Times New Roman" w:hint="default"/>
        <w:color w:val="4298B5"/>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nsid w:val="7453533E"/>
    <w:multiLevelType w:val="multilevel"/>
    <w:tmpl w:val="64020DFA"/>
    <w:styleLink w:val="PCOverviewCaptionlist"/>
    <w:lvl w:ilvl="0">
      <w:start w:val="1"/>
      <w:numFmt w:val="decimal"/>
      <w:pStyle w:val="OverviewCaption"/>
      <w:lvlText w:val="Figure 0.%1"/>
      <w:lvlJc w:val="left"/>
      <w:pPr>
        <w:tabs>
          <w:tab w:val="num" w:pos="1276"/>
        </w:tabs>
        <w:ind w:left="0" w:firstLine="0"/>
      </w:pPr>
      <w:rPr>
        <w:rFonts w:ascii="AvenirMaoriLight" w:hAnsi="AvenirMaoriLight"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20"/>
  </w:num>
  <w:num w:numId="3">
    <w:abstractNumId w:val="17"/>
  </w:num>
  <w:num w:numId="4">
    <w:abstractNumId w:val="21"/>
  </w:num>
  <w:num w:numId="5">
    <w:abstractNumId w:val="10"/>
  </w:num>
  <w:num w:numId="6">
    <w:abstractNumId w:val="25"/>
  </w:num>
  <w:num w:numId="7">
    <w:abstractNumId w:val="11"/>
  </w:num>
  <w:num w:numId="8">
    <w:abstractNumId w:val="12"/>
  </w:num>
  <w:num w:numId="9">
    <w:abstractNumId w:val="24"/>
  </w:num>
  <w:num w:numId="10">
    <w:abstractNumId w:val="18"/>
  </w:num>
  <w:num w:numId="11">
    <w:abstractNumId w:val="14"/>
  </w:num>
  <w:num w:numId="12">
    <w:abstractNumId w:val="8"/>
  </w:num>
  <w:num w:numId="13">
    <w:abstractNumId w:val="13"/>
  </w:num>
  <w:num w:numId="14">
    <w:abstractNumId w:val="15"/>
  </w:num>
  <w:num w:numId="15">
    <w:abstractNumId w:val="22"/>
  </w:num>
  <w:num w:numId="16">
    <w:abstractNumId w:val="9"/>
  </w:num>
  <w:num w:numId="17">
    <w:abstractNumId w:val="26"/>
  </w:num>
  <w:num w:numId="18">
    <w:abstractNumId w:val="6"/>
  </w:num>
  <w:num w:numId="19">
    <w:abstractNumId w:val="5"/>
  </w:num>
  <w:num w:numId="20">
    <w:abstractNumId w:val="4"/>
  </w:num>
  <w:num w:numId="21">
    <w:abstractNumId w:val="7"/>
  </w:num>
  <w:num w:numId="22">
    <w:abstractNumId w:val="3"/>
  </w:num>
  <w:num w:numId="23">
    <w:abstractNumId w:val="2"/>
  </w:num>
  <w:num w:numId="24">
    <w:abstractNumId w:val="1"/>
  </w:num>
  <w:num w:numId="25">
    <w:abstractNumId w:val="0"/>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68A"/>
    <w:rsid w:val="000A0351"/>
    <w:rsid w:val="000A4352"/>
    <w:rsid w:val="000E4408"/>
    <w:rsid w:val="001615AF"/>
    <w:rsid w:val="001B432F"/>
    <w:rsid w:val="00226769"/>
    <w:rsid w:val="00272E5B"/>
    <w:rsid w:val="002A0728"/>
    <w:rsid w:val="00347762"/>
    <w:rsid w:val="0044663E"/>
    <w:rsid w:val="00466662"/>
    <w:rsid w:val="00474A3B"/>
    <w:rsid w:val="004A7272"/>
    <w:rsid w:val="005D568A"/>
    <w:rsid w:val="006270AA"/>
    <w:rsid w:val="00723599"/>
    <w:rsid w:val="00733B15"/>
    <w:rsid w:val="00735E88"/>
    <w:rsid w:val="008D36ED"/>
    <w:rsid w:val="00B47BE4"/>
    <w:rsid w:val="00DA439B"/>
    <w:rsid w:val="00F50BF3"/>
    <w:rsid w:val="00F874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0" w:unhideWhenUsed="0" w:qFormat="1"/>
    <w:lsdException w:name="heading 2" w:uiPriority="1" w:qFormat="1"/>
    <w:lsdException w:name="heading 3" w:uiPriority="3" w:qFormat="1"/>
    <w:lsdException w:name="heading 4" w:uiPriority="3" w:qFormat="1"/>
    <w:lsdException w:name="heading 5" w:uiPriority="4" w:qFormat="1"/>
    <w:lsdException w:name="heading 6" w:uiPriority="2" w:qFormat="1"/>
    <w:lsdException w:name="heading 7" w:uiPriority="1" w:qFormat="1"/>
    <w:lsdException w:name="heading 8" w:uiPriority="1"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8"/>
    <w:lsdException w:name="header" w:uiPriority="19"/>
    <w:lsdException w:name="footer" w:uiPriority="19"/>
    <w:lsdException w:name="caption" w:uiPriority="18" w:qFormat="1"/>
    <w:lsdException w:name="envelope address" w:uiPriority="24"/>
    <w:lsdException w:name="envelope return" w:uiPriority="24"/>
    <w:lsdException w:name="footnote reference" w:uiPriority="18"/>
    <w:lsdException w:name="line number" w:uiPriority="0"/>
    <w:lsdException w:name="page number" w:uiPriority="19"/>
    <w:lsdException w:name="endnote reference" w:uiPriority="0"/>
    <w:lsdException w:name="endnote text" w:uiPriority="24"/>
    <w:lsdException w:name="Title" w:semiHidden="0" w:uiPriority="0" w:unhideWhenUsed="0" w:qFormat="1"/>
    <w:lsdException w:name="Default Paragraph Font" w:uiPriority="1"/>
    <w:lsdException w:name="Body Text" w:uiPriority="8" w:qFormat="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2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ingle space"/>
    <w:uiPriority w:val="9"/>
    <w:qFormat/>
    <w:rsid w:val="005D568A"/>
    <w:pPr>
      <w:spacing w:after="0" w:line="240" w:lineRule="auto"/>
    </w:pPr>
    <w:rPr>
      <w:rFonts w:ascii="AvenirMaoriLight" w:eastAsia="Calibri" w:hAnsi="AvenirMaoriLight" w:cs="Times New Roman"/>
      <w:sz w:val="20"/>
    </w:rPr>
  </w:style>
  <w:style w:type="paragraph" w:styleId="Heading1">
    <w:name w:val="heading 1"/>
    <w:aliases w:val="Chapt head"/>
    <w:basedOn w:val="Normal"/>
    <w:next w:val="Introtext"/>
    <w:link w:val="Heading1Char"/>
    <w:qFormat/>
    <w:rsid w:val="005D568A"/>
    <w:pPr>
      <w:keepNext/>
      <w:keepLines/>
      <w:pageBreakBefore/>
      <w:numPr>
        <w:numId w:val="12"/>
      </w:numPr>
      <w:spacing w:after="320" w:line="540" w:lineRule="atLeast"/>
      <w:outlineLvl w:val="0"/>
    </w:pPr>
    <w:rPr>
      <w:rFonts w:ascii="AvenirMaoriBold" w:eastAsia="Times New Roman" w:hAnsi="AvenirMaoriBold"/>
      <w:bCs/>
      <w:color w:val="DC8633"/>
      <w:sz w:val="48"/>
      <w:szCs w:val="28"/>
    </w:rPr>
  </w:style>
  <w:style w:type="paragraph" w:styleId="Heading2">
    <w:name w:val="heading 2"/>
    <w:aliases w:val="Chapt sub"/>
    <w:basedOn w:val="Normal"/>
    <w:next w:val="BodyText"/>
    <w:link w:val="Heading2Char"/>
    <w:uiPriority w:val="1"/>
    <w:qFormat/>
    <w:rsid w:val="005D568A"/>
    <w:pPr>
      <w:keepNext/>
      <w:keepLines/>
      <w:numPr>
        <w:ilvl w:val="1"/>
        <w:numId w:val="12"/>
      </w:numPr>
      <w:spacing w:before="160" w:after="160" w:line="340" w:lineRule="atLeast"/>
      <w:outlineLvl w:val="1"/>
    </w:pPr>
    <w:rPr>
      <w:rFonts w:ascii="AvenirMaoriBold" w:eastAsia="Times New Roman" w:hAnsi="AvenirMaoriBold"/>
      <w:bCs/>
      <w:color w:val="4298B5"/>
      <w:sz w:val="30"/>
      <w:szCs w:val="26"/>
    </w:rPr>
  </w:style>
  <w:style w:type="paragraph" w:styleId="Heading3">
    <w:name w:val="heading 3"/>
    <w:basedOn w:val="Normal"/>
    <w:next w:val="BodyText"/>
    <w:link w:val="Heading3Char"/>
    <w:uiPriority w:val="3"/>
    <w:qFormat/>
    <w:rsid w:val="005D568A"/>
    <w:pPr>
      <w:keepNext/>
      <w:keepLines/>
      <w:spacing w:before="40" w:after="80" w:line="300" w:lineRule="atLeast"/>
      <w:outlineLvl w:val="2"/>
    </w:pPr>
    <w:rPr>
      <w:rFonts w:ascii="AvenirMaoriBold" w:eastAsia="Times New Roman" w:hAnsi="AvenirMaoriBold"/>
      <w:bCs/>
      <w:sz w:val="26"/>
    </w:rPr>
  </w:style>
  <w:style w:type="paragraph" w:styleId="Heading4">
    <w:name w:val="heading 4"/>
    <w:basedOn w:val="Normal"/>
    <w:next w:val="BodyText"/>
    <w:link w:val="Heading4Char"/>
    <w:uiPriority w:val="3"/>
    <w:qFormat/>
    <w:rsid w:val="005D568A"/>
    <w:pPr>
      <w:keepNext/>
      <w:keepLines/>
      <w:spacing w:before="40" w:after="60" w:line="260" w:lineRule="atLeast"/>
      <w:outlineLvl w:val="3"/>
    </w:pPr>
    <w:rPr>
      <w:rFonts w:ascii="AvenirMaoriBold" w:eastAsia="Times New Roman" w:hAnsi="AvenirMaoriBold"/>
      <w:bCs/>
      <w:iCs/>
      <w:sz w:val="22"/>
    </w:rPr>
  </w:style>
  <w:style w:type="paragraph" w:styleId="Heading5">
    <w:name w:val="heading 5"/>
    <w:basedOn w:val="Normal"/>
    <w:next w:val="BodyText"/>
    <w:link w:val="Heading5Char"/>
    <w:uiPriority w:val="4"/>
    <w:qFormat/>
    <w:rsid w:val="005D568A"/>
    <w:pPr>
      <w:keepNext/>
      <w:keepLines/>
      <w:spacing w:before="40" w:after="60" w:line="270" w:lineRule="atLeast"/>
      <w:outlineLvl w:val="4"/>
    </w:pPr>
    <w:rPr>
      <w:rFonts w:eastAsia="Times New Roman"/>
      <w:b/>
      <w:color w:val="404040" w:themeColor="text1" w:themeTint="BF"/>
    </w:rPr>
  </w:style>
  <w:style w:type="paragraph" w:styleId="Heading6">
    <w:name w:val="heading 6"/>
    <w:aliases w:val="Section head"/>
    <w:basedOn w:val="Normal"/>
    <w:next w:val="Introtext"/>
    <w:link w:val="Heading6Char"/>
    <w:uiPriority w:val="2"/>
    <w:qFormat/>
    <w:rsid w:val="005D568A"/>
    <w:pPr>
      <w:pageBreakBefore/>
      <w:spacing w:after="320" w:line="540" w:lineRule="atLeast"/>
      <w:outlineLvl w:val="5"/>
    </w:pPr>
    <w:rPr>
      <w:rFonts w:ascii="AvenirMaoriBold" w:hAnsi="AvenirMaoriBold"/>
      <w:iCs/>
      <w:color w:val="DC8633"/>
      <w:sz w:val="48"/>
    </w:rPr>
  </w:style>
  <w:style w:type="paragraph" w:styleId="Heading7">
    <w:name w:val="heading 7"/>
    <w:aliases w:val="Appendix"/>
    <w:basedOn w:val="Normal"/>
    <w:next w:val="BodyText"/>
    <w:link w:val="Heading7Char"/>
    <w:uiPriority w:val="1"/>
    <w:qFormat/>
    <w:rsid w:val="005D568A"/>
    <w:pPr>
      <w:keepNext/>
      <w:keepLines/>
      <w:pageBreakBefore/>
      <w:numPr>
        <w:numId w:val="9"/>
      </w:numPr>
      <w:spacing w:after="320" w:line="540" w:lineRule="atLeast"/>
      <w:outlineLvl w:val="6"/>
    </w:pPr>
    <w:rPr>
      <w:rFonts w:ascii="AvenirMaoriBold" w:eastAsia="Times New Roman" w:hAnsi="AvenirMaoriBold"/>
      <w:iCs/>
      <w:color w:val="DC8633"/>
      <w:sz w:val="44"/>
    </w:rPr>
  </w:style>
  <w:style w:type="paragraph" w:styleId="Heading8">
    <w:name w:val="heading 8"/>
    <w:aliases w:val="? Summary"/>
    <w:basedOn w:val="Normal"/>
    <w:next w:val="BodyText"/>
    <w:link w:val="Heading8Char"/>
    <w:uiPriority w:val="1"/>
    <w:rsid w:val="005D568A"/>
    <w:pPr>
      <w:keepNext/>
      <w:keepLines/>
      <w:spacing w:before="40" w:after="80" w:line="300" w:lineRule="atLeast"/>
      <w:outlineLvl w:val="7"/>
    </w:pPr>
    <w:rPr>
      <w:rFonts w:ascii="AvenirMaoriBold" w:eastAsia="Times New Roman" w:hAnsi="AvenirMaoriBold"/>
      <w:color w:val="DC8633"/>
      <w:sz w:val="26"/>
      <w:szCs w:val="20"/>
    </w:rPr>
  </w:style>
  <w:style w:type="paragraph" w:styleId="Heading9">
    <w:name w:val="heading 9"/>
    <w:basedOn w:val="Heading6"/>
    <w:next w:val="BodyText"/>
    <w:link w:val="Heading9Char"/>
    <w:uiPriority w:val="19"/>
    <w:semiHidden/>
    <w:qFormat/>
    <w:rsid w:val="005D568A"/>
    <w:pPr>
      <w:keepLines/>
      <w:outlineLvl w:val="8"/>
    </w:pPr>
    <w:rPr>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 head Char"/>
    <w:basedOn w:val="DefaultParagraphFont"/>
    <w:link w:val="Heading1"/>
    <w:rsid w:val="005D568A"/>
    <w:rPr>
      <w:rFonts w:ascii="AvenirMaoriBold" w:eastAsia="Times New Roman" w:hAnsi="AvenirMaoriBold" w:cs="Times New Roman"/>
      <w:bCs/>
      <w:color w:val="DC8633"/>
      <w:sz w:val="48"/>
      <w:szCs w:val="28"/>
    </w:rPr>
  </w:style>
  <w:style w:type="character" w:customStyle="1" w:styleId="Heading2Char">
    <w:name w:val="Heading 2 Char"/>
    <w:aliases w:val="Chapt sub Char"/>
    <w:basedOn w:val="DefaultParagraphFont"/>
    <w:link w:val="Heading2"/>
    <w:uiPriority w:val="1"/>
    <w:rsid w:val="005D568A"/>
    <w:rPr>
      <w:rFonts w:ascii="AvenirMaoriBold" w:eastAsia="Times New Roman" w:hAnsi="AvenirMaoriBold" w:cs="Times New Roman"/>
      <w:bCs/>
      <w:color w:val="4298B5"/>
      <w:sz w:val="30"/>
      <w:szCs w:val="26"/>
    </w:rPr>
  </w:style>
  <w:style w:type="character" w:customStyle="1" w:styleId="Heading3Char">
    <w:name w:val="Heading 3 Char"/>
    <w:basedOn w:val="DefaultParagraphFont"/>
    <w:link w:val="Heading3"/>
    <w:uiPriority w:val="3"/>
    <w:rsid w:val="005D568A"/>
    <w:rPr>
      <w:rFonts w:ascii="AvenirMaoriBold" w:eastAsia="Times New Roman" w:hAnsi="AvenirMaoriBold" w:cs="Times New Roman"/>
      <w:bCs/>
      <w:sz w:val="26"/>
    </w:rPr>
  </w:style>
  <w:style w:type="character" w:customStyle="1" w:styleId="Heading4Char">
    <w:name w:val="Heading 4 Char"/>
    <w:basedOn w:val="DefaultParagraphFont"/>
    <w:link w:val="Heading4"/>
    <w:uiPriority w:val="3"/>
    <w:rsid w:val="005D568A"/>
    <w:rPr>
      <w:rFonts w:ascii="AvenirMaoriBold" w:eastAsia="Times New Roman" w:hAnsi="AvenirMaoriBold" w:cs="Times New Roman"/>
      <w:bCs/>
      <w:iCs/>
    </w:rPr>
  </w:style>
  <w:style w:type="character" w:customStyle="1" w:styleId="Heading5Char">
    <w:name w:val="Heading 5 Char"/>
    <w:basedOn w:val="DefaultParagraphFont"/>
    <w:link w:val="Heading5"/>
    <w:uiPriority w:val="4"/>
    <w:rsid w:val="005D568A"/>
    <w:rPr>
      <w:rFonts w:ascii="AvenirMaoriLight" w:eastAsia="Times New Roman" w:hAnsi="AvenirMaoriLight" w:cs="Times New Roman"/>
      <w:b/>
      <w:color w:val="404040" w:themeColor="text1" w:themeTint="BF"/>
      <w:sz w:val="20"/>
    </w:rPr>
  </w:style>
  <w:style w:type="character" w:customStyle="1" w:styleId="Heading6Char">
    <w:name w:val="Heading 6 Char"/>
    <w:aliases w:val="Section head Char"/>
    <w:basedOn w:val="DefaultParagraphFont"/>
    <w:link w:val="Heading6"/>
    <w:uiPriority w:val="2"/>
    <w:rsid w:val="005D568A"/>
    <w:rPr>
      <w:rFonts w:ascii="AvenirMaoriBold" w:eastAsia="Calibri" w:hAnsi="AvenirMaoriBold" w:cs="Times New Roman"/>
      <w:iCs/>
      <w:color w:val="DC8633"/>
      <w:sz w:val="48"/>
    </w:rPr>
  </w:style>
  <w:style w:type="character" w:customStyle="1" w:styleId="Heading7Char">
    <w:name w:val="Heading 7 Char"/>
    <w:aliases w:val="Appendix Char"/>
    <w:basedOn w:val="DefaultParagraphFont"/>
    <w:link w:val="Heading7"/>
    <w:uiPriority w:val="1"/>
    <w:rsid w:val="005D568A"/>
    <w:rPr>
      <w:rFonts w:ascii="AvenirMaoriBold" w:eastAsia="Times New Roman" w:hAnsi="AvenirMaoriBold" w:cs="Times New Roman"/>
      <w:iCs/>
      <w:color w:val="DC8633"/>
      <w:sz w:val="44"/>
    </w:rPr>
  </w:style>
  <w:style w:type="character" w:customStyle="1" w:styleId="Heading8Char">
    <w:name w:val="Heading 8 Char"/>
    <w:aliases w:val="? Summary Char"/>
    <w:basedOn w:val="DefaultParagraphFont"/>
    <w:link w:val="Heading8"/>
    <w:uiPriority w:val="1"/>
    <w:rsid w:val="005D568A"/>
    <w:rPr>
      <w:rFonts w:ascii="AvenirMaoriBold" w:eastAsia="Times New Roman" w:hAnsi="AvenirMaoriBold" w:cs="Times New Roman"/>
      <w:color w:val="DC8633"/>
      <w:sz w:val="26"/>
      <w:szCs w:val="20"/>
    </w:rPr>
  </w:style>
  <w:style w:type="character" w:customStyle="1" w:styleId="Heading9Char">
    <w:name w:val="Heading 9 Char"/>
    <w:basedOn w:val="DefaultParagraphFont"/>
    <w:link w:val="Heading9"/>
    <w:uiPriority w:val="19"/>
    <w:semiHidden/>
    <w:rsid w:val="005D568A"/>
    <w:rPr>
      <w:rFonts w:ascii="AvenirMaoriBold" w:eastAsia="Calibri" w:hAnsi="AvenirMaoriBold" w:cs="Times New Roman"/>
      <w:color w:val="DC8633"/>
      <w:sz w:val="48"/>
      <w:szCs w:val="20"/>
    </w:rPr>
  </w:style>
  <w:style w:type="paragraph" w:styleId="BodyText">
    <w:name w:val="Body Text"/>
    <w:aliases w:val="Body"/>
    <w:basedOn w:val="Normal"/>
    <w:link w:val="BodyTextChar"/>
    <w:uiPriority w:val="8"/>
    <w:qFormat/>
    <w:rsid w:val="005D568A"/>
    <w:pPr>
      <w:spacing w:after="190" w:line="270" w:lineRule="atLeast"/>
    </w:pPr>
  </w:style>
  <w:style w:type="character" w:customStyle="1" w:styleId="BodyTextChar">
    <w:name w:val="Body Text Char"/>
    <w:aliases w:val="Body Char"/>
    <w:basedOn w:val="DefaultParagraphFont"/>
    <w:link w:val="BodyText"/>
    <w:uiPriority w:val="8"/>
    <w:rsid w:val="005D568A"/>
    <w:rPr>
      <w:rFonts w:ascii="AvenirMaoriLight" w:eastAsia="Calibri" w:hAnsi="AvenirMaoriLight" w:cs="Times New Roman"/>
      <w:sz w:val="20"/>
    </w:rPr>
  </w:style>
  <w:style w:type="paragraph" w:styleId="ListParagraph">
    <w:name w:val="List Paragraph"/>
    <w:basedOn w:val="Normal"/>
    <w:uiPriority w:val="34"/>
    <w:qFormat/>
    <w:rsid w:val="005D568A"/>
    <w:pPr>
      <w:ind w:left="720"/>
      <w:contextualSpacing/>
    </w:pPr>
  </w:style>
  <w:style w:type="paragraph" w:customStyle="1" w:styleId="Numberedlist">
    <w:name w:val="Numbered list"/>
    <w:basedOn w:val="BodyText"/>
    <w:uiPriority w:val="9"/>
    <w:qFormat/>
    <w:rsid w:val="005D568A"/>
    <w:pPr>
      <w:numPr>
        <w:numId w:val="2"/>
      </w:numPr>
    </w:pPr>
  </w:style>
  <w:style w:type="paragraph" w:styleId="BalloonText">
    <w:name w:val="Balloon Text"/>
    <w:basedOn w:val="Normal"/>
    <w:link w:val="BalloonTextChar"/>
    <w:uiPriority w:val="29"/>
    <w:semiHidden/>
    <w:rsid w:val="005D568A"/>
    <w:rPr>
      <w:rFonts w:ascii="Tahoma" w:hAnsi="Tahoma" w:cs="Tahoma"/>
      <w:sz w:val="16"/>
      <w:szCs w:val="16"/>
    </w:rPr>
  </w:style>
  <w:style w:type="character" w:customStyle="1" w:styleId="BalloonTextChar">
    <w:name w:val="Balloon Text Char"/>
    <w:basedOn w:val="DefaultParagraphFont"/>
    <w:link w:val="BalloonText"/>
    <w:uiPriority w:val="29"/>
    <w:semiHidden/>
    <w:rsid w:val="005D568A"/>
    <w:rPr>
      <w:rFonts w:ascii="Tahoma" w:eastAsia="Calibri" w:hAnsi="Tahoma" w:cs="Tahoma"/>
      <w:sz w:val="16"/>
      <w:szCs w:val="16"/>
    </w:rPr>
  </w:style>
  <w:style w:type="paragraph" w:styleId="FootnoteText">
    <w:name w:val="footnote text"/>
    <w:basedOn w:val="Normal"/>
    <w:link w:val="FootnoteTextChar"/>
    <w:uiPriority w:val="18"/>
    <w:rsid w:val="005D568A"/>
    <w:pPr>
      <w:spacing w:after="60" w:line="180" w:lineRule="atLeast"/>
    </w:pPr>
    <w:rPr>
      <w:color w:val="262626" w:themeColor="text1" w:themeTint="D9"/>
      <w:sz w:val="14"/>
      <w:szCs w:val="20"/>
    </w:rPr>
  </w:style>
  <w:style w:type="character" w:customStyle="1" w:styleId="FootnoteTextChar">
    <w:name w:val="Footnote Text Char"/>
    <w:basedOn w:val="DefaultParagraphFont"/>
    <w:link w:val="FootnoteText"/>
    <w:uiPriority w:val="18"/>
    <w:rsid w:val="005D568A"/>
    <w:rPr>
      <w:rFonts w:ascii="AvenirMaoriLight" w:eastAsia="Calibri" w:hAnsi="AvenirMaoriLight" w:cs="Times New Roman"/>
      <w:color w:val="262626" w:themeColor="text1" w:themeTint="D9"/>
      <w:sz w:val="14"/>
      <w:szCs w:val="20"/>
    </w:rPr>
  </w:style>
  <w:style w:type="character" w:styleId="FootnoteReference">
    <w:name w:val="footnote reference"/>
    <w:uiPriority w:val="18"/>
    <w:rsid w:val="005D568A"/>
    <w:rPr>
      <w:vertAlign w:val="superscript"/>
    </w:rPr>
  </w:style>
  <w:style w:type="character" w:styleId="PlaceholderText">
    <w:name w:val="Placeholder Text"/>
    <w:basedOn w:val="DefaultParagraphFont"/>
    <w:uiPriority w:val="99"/>
    <w:semiHidden/>
    <w:rsid w:val="005D568A"/>
    <w:rPr>
      <w:color w:val="808080"/>
    </w:rPr>
  </w:style>
  <w:style w:type="paragraph" w:styleId="Caption">
    <w:name w:val="caption"/>
    <w:basedOn w:val="Normal"/>
    <w:next w:val="BodyText"/>
    <w:uiPriority w:val="18"/>
    <w:rsid w:val="005D568A"/>
    <w:pPr>
      <w:keepNext/>
      <w:tabs>
        <w:tab w:val="left" w:pos="1276"/>
      </w:tabs>
      <w:spacing w:before="120" w:after="120" w:line="260" w:lineRule="atLeast"/>
    </w:pPr>
    <w:rPr>
      <w:rFonts w:eastAsia="Times New Roman"/>
      <w:b/>
      <w:bCs/>
      <w:szCs w:val="20"/>
      <w:lang w:eastAsia="en-GB"/>
    </w:rPr>
  </w:style>
  <w:style w:type="table" w:styleId="TableGrid">
    <w:name w:val="Table Grid"/>
    <w:basedOn w:val="TableNormal"/>
    <w:rsid w:val="005D568A"/>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list">
    <w:name w:val="Alpha list"/>
    <w:basedOn w:val="BodyText"/>
    <w:uiPriority w:val="10"/>
    <w:qFormat/>
    <w:rsid w:val="005D568A"/>
    <w:pPr>
      <w:numPr>
        <w:numId w:val="8"/>
      </w:numPr>
    </w:pPr>
  </w:style>
  <w:style w:type="paragraph" w:styleId="Bibliography">
    <w:name w:val="Bibliography"/>
    <w:basedOn w:val="Normal"/>
    <w:next w:val="Normal"/>
    <w:uiPriority w:val="37"/>
    <w:semiHidden/>
    <w:rsid w:val="005D568A"/>
    <w:pPr>
      <w:spacing w:after="200" w:line="250" w:lineRule="atLeast"/>
    </w:pPr>
  </w:style>
  <w:style w:type="paragraph" w:customStyle="1" w:styleId="Keypointsheading">
    <w:name w:val="Key points heading"/>
    <w:basedOn w:val="BodyText"/>
    <w:next w:val="Normal"/>
    <w:uiPriority w:val="18"/>
    <w:rsid w:val="005D568A"/>
    <w:pPr>
      <w:keepNext/>
      <w:spacing w:before="40" w:after="140" w:line="260" w:lineRule="atLeast"/>
    </w:pPr>
    <w:rPr>
      <w:rFonts w:ascii="AvenirMaoriBold" w:hAnsi="AvenirMaoriBold"/>
      <w:sz w:val="22"/>
    </w:rPr>
  </w:style>
  <w:style w:type="paragraph" w:customStyle="1" w:styleId="Boxheading">
    <w:name w:val="Box heading"/>
    <w:basedOn w:val="Keypointsheading"/>
    <w:next w:val="BodyText"/>
    <w:uiPriority w:val="18"/>
    <w:qFormat/>
    <w:rsid w:val="005D568A"/>
    <w:pPr>
      <w:tabs>
        <w:tab w:val="left" w:pos="1134"/>
      </w:tabs>
      <w:spacing w:before="0" w:after="120" w:line="240" w:lineRule="atLeast"/>
    </w:pPr>
    <w:rPr>
      <w:rFonts w:ascii="AvenirMaoriLight" w:hAnsi="AvenirMaoriLight"/>
      <w:sz w:val="20"/>
    </w:rPr>
  </w:style>
  <w:style w:type="paragraph" w:customStyle="1" w:styleId="Boxtable">
    <w:name w:val="Box table"/>
    <w:basedOn w:val="BodyText"/>
    <w:uiPriority w:val="19"/>
    <w:semiHidden/>
    <w:rsid w:val="005D568A"/>
    <w:pPr>
      <w:spacing w:after="120" w:line="240" w:lineRule="atLeast"/>
    </w:pPr>
    <w:rPr>
      <w:sz w:val="19"/>
    </w:rPr>
  </w:style>
  <w:style w:type="paragraph" w:customStyle="1" w:styleId="Bullet1Blue">
    <w:name w:val="Bullet 1 Blue"/>
    <w:basedOn w:val="BodyText"/>
    <w:uiPriority w:val="14"/>
    <w:qFormat/>
    <w:rsid w:val="005D568A"/>
    <w:pPr>
      <w:numPr>
        <w:numId w:val="6"/>
      </w:numPr>
    </w:pPr>
  </w:style>
  <w:style w:type="paragraph" w:customStyle="1" w:styleId="Bullet1Orange">
    <w:name w:val="Bullet 1 Orange"/>
    <w:basedOn w:val="BodyText"/>
    <w:uiPriority w:val="13"/>
    <w:qFormat/>
    <w:rsid w:val="005D568A"/>
    <w:pPr>
      <w:numPr>
        <w:numId w:val="11"/>
      </w:numPr>
    </w:pPr>
  </w:style>
  <w:style w:type="paragraph" w:customStyle="1" w:styleId="Bullet2Orange">
    <w:name w:val="Bullet 2 Orange"/>
    <w:basedOn w:val="Bullet1Orange"/>
    <w:uiPriority w:val="13"/>
    <w:qFormat/>
    <w:rsid w:val="005D568A"/>
    <w:pPr>
      <w:numPr>
        <w:ilvl w:val="1"/>
      </w:numPr>
    </w:pPr>
  </w:style>
  <w:style w:type="paragraph" w:styleId="EndnoteText">
    <w:name w:val="endnote text"/>
    <w:basedOn w:val="Normal"/>
    <w:link w:val="EndnoteTextChar"/>
    <w:uiPriority w:val="24"/>
    <w:semiHidden/>
    <w:rsid w:val="005D568A"/>
    <w:rPr>
      <w:szCs w:val="20"/>
    </w:rPr>
  </w:style>
  <w:style w:type="character" w:customStyle="1" w:styleId="EndnoteTextChar">
    <w:name w:val="Endnote Text Char"/>
    <w:basedOn w:val="DefaultParagraphFont"/>
    <w:link w:val="EndnoteText"/>
    <w:uiPriority w:val="24"/>
    <w:semiHidden/>
    <w:rsid w:val="005D568A"/>
    <w:rPr>
      <w:rFonts w:ascii="AvenirMaoriLight" w:eastAsia="Calibri" w:hAnsi="AvenirMaoriLight" w:cs="Times New Roman"/>
      <w:sz w:val="20"/>
      <w:szCs w:val="20"/>
    </w:rPr>
  </w:style>
  <w:style w:type="paragraph" w:customStyle="1" w:styleId="zInstructions">
    <w:name w:val="z_Instructions"/>
    <w:basedOn w:val="Normal"/>
    <w:uiPriority w:val="99"/>
    <w:semiHidden/>
    <w:rsid w:val="005D568A"/>
    <w:pPr>
      <w:spacing w:after="180" w:line="288" w:lineRule="atLeast"/>
    </w:pPr>
    <w:rPr>
      <w:color w:val="FF0000"/>
    </w:rPr>
  </w:style>
  <w:style w:type="paragraph" w:styleId="EnvelopeAddress">
    <w:name w:val="envelope address"/>
    <w:basedOn w:val="Normal"/>
    <w:uiPriority w:val="24"/>
    <w:semiHidden/>
    <w:rsid w:val="005D568A"/>
    <w:pPr>
      <w:framePr w:w="7920" w:h="1980" w:hRule="exact" w:hSpace="180" w:wrap="auto" w:hAnchor="page" w:xAlign="center" w:yAlign="bottom"/>
      <w:ind w:left="2880"/>
    </w:pPr>
    <w:rPr>
      <w:rFonts w:eastAsia="Times New Roman"/>
      <w:szCs w:val="24"/>
    </w:rPr>
  </w:style>
  <w:style w:type="paragraph" w:styleId="EnvelopeReturn">
    <w:name w:val="envelope return"/>
    <w:basedOn w:val="Normal"/>
    <w:uiPriority w:val="24"/>
    <w:semiHidden/>
    <w:rsid w:val="005D568A"/>
    <w:rPr>
      <w:rFonts w:eastAsia="Times New Roman"/>
      <w:szCs w:val="20"/>
    </w:rPr>
  </w:style>
  <w:style w:type="paragraph" w:styleId="Footer">
    <w:name w:val="footer"/>
    <w:basedOn w:val="Normal"/>
    <w:link w:val="FooterChar"/>
    <w:uiPriority w:val="19"/>
    <w:semiHidden/>
    <w:rsid w:val="005D568A"/>
    <w:pPr>
      <w:tabs>
        <w:tab w:val="center" w:pos="4479"/>
        <w:tab w:val="right" w:pos="8959"/>
      </w:tabs>
    </w:pPr>
  </w:style>
  <w:style w:type="character" w:customStyle="1" w:styleId="FooterChar">
    <w:name w:val="Footer Char"/>
    <w:basedOn w:val="DefaultParagraphFont"/>
    <w:link w:val="Footer"/>
    <w:uiPriority w:val="19"/>
    <w:semiHidden/>
    <w:rsid w:val="005D568A"/>
    <w:rPr>
      <w:rFonts w:ascii="AvenirMaoriLight" w:eastAsia="Calibri" w:hAnsi="AvenirMaoriLight" w:cs="Times New Roman"/>
      <w:sz w:val="20"/>
    </w:rPr>
  </w:style>
  <w:style w:type="paragraph" w:styleId="Header">
    <w:name w:val="header"/>
    <w:basedOn w:val="Normal"/>
    <w:link w:val="HeaderChar"/>
    <w:uiPriority w:val="19"/>
    <w:semiHidden/>
    <w:rsid w:val="005D568A"/>
    <w:pPr>
      <w:tabs>
        <w:tab w:val="center" w:pos="4536"/>
        <w:tab w:val="right" w:pos="9072"/>
      </w:tabs>
    </w:pPr>
    <w:rPr>
      <w:sz w:val="18"/>
    </w:rPr>
  </w:style>
  <w:style w:type="character" w:customStyle="1" w:styleId="HeaderChar">
    <w:name w:val="Header Char"/>
    <w:basedOn w:val="DefaultParagraphFont"/>
    <w:link w:val="Header"/>
    <w:uiPriority w:val="19"/>
    <w:semiHidden/>
    <w:rsid w:val="005D568A"/>
    <w:rPr>
      <w:rFonts w:ascii="AvenirMaoriLight" w:eastAsia="Calibri" w:hAnsi="AvenirMaoriLight" w:cs="Times New Roman"/>
      <w:sz w:val="18"/>
    </w:rPr>
  </w:style>
  <w:style w:type="character" w:styleId="Hyperlink">
    <w:name w:val="Hyperlink"/>
    <w:basedOn w:val="DefaultParagraphFont"/>
    <w:uiPriority w:val="99"/>
    <w:semiHidden/>
    <w:rsid w:val="005D568A"/>
    <w:rPr>
      <w:color w:val="0000FF" w:themeColor="hyperlink"/>
      <w:u w:val="single"/>
    </w:rPr>
  </w:style>
  <w:style w:type="paragraph" w:customStyle="1" w:styleId="Introtext">
    <w:name w:val="Intro text"/>
    <w:basedOn w:val="BodyText"/>
    <w:next w:val="BodyText"/>
    <w:uiPriority w:val="7"/>
    <w:qFormat/>
    <w:rsid w:val="005D568A"/>
    <w:pPr>
      <w:spacing w:line="300" w:lineRule="atLeast"/>
    </w:pPr>
    <w:rPr>
      <w:sz w:val="24"/>
    </w:rPr>
  </w:style>
  <w:style w:type="character" w:styleId="PageNumber">
    <w:name w:val="page number"/>
    <w:uiPriority w:val="19"/>
    <w:semiHidden/>
    <w:rsid w:val="005D568A"/>
    <w:rPr>
      <w:rFonts w:ascii="AvenirMaoriLight" w:hAnsi="AvenirMaoriLight"/>
      <w:sz w:val="18"/>
    </w:rPr>
  </w:style>
  <w:style w:type="numbering" w:customStyle="1" w:styleId="PCAlphalist">
    <w:name w:val="PC Alpha list"/>
    <w:uiPriority w:val="99"/>
    <w:rsid w:val="005D568A"/>
    <w:pPr>
      <w:numPr>
        <w:numId w:val="8"/>
      </w:numPr>
    </w:pPr>
  </w:style>
  <w:style w:type="numbering" w:customStyle="1" w:styleId="PCAppendix">
    <w:name w:val="PC Appendix"/>
    <w:basedOn w:val="NoList"/>
    <w:uiPriority w:val="99"/>
    <w:rsid w:val="005D568A"/>
    <w:pPr>
      <w:numPr>
        <w:numId w:val="9"/>
      </w:numPr>
    </w:pPr>
  </w:style>
  <w:style w:type="numbering" w:customStyle="1" w:styleId="PCBoxList">
    <w:name w:val="PC Box List"/>
    <w:uiPriority w:val="99"/>
    <w:rsid w:val="005D568A"/>
    <w:pPr>
      <w:numPr>
        <w:numId w:val="10"/>
      </w:numPr>
    </w:pPr>
  </w:style>
  <w:style w:type="numbering" w:customStyle="1" w:styleId="PCBulletBlue">
    <w:name w:val="PC Bullet Blue"/>
    <w:uiPriority w:val="99"/>
    <w:rsid w:val="005D568A"/>
    <w:pPr>
      <w:numPr>
        <w:numId w:val="6"/>
      </w:numPr>
    </w:pPr>
  </w:style>
  <w:style w:type="numbering" w:customStyle="1" w:styleId="PCBullets">
    <w:name w:val="PC Bullets"/>
    <w:uiPriority w:val="99"/>
    <w:rsid w:val="005D568A"/>
    <w:pPr>
      <w:numPr>
        <w:numId w:val="11"/>
      </w:numPr>
    </w:pPr>
  </w:style>
  <w:style w:type="numbering" w:customStyle="1" w:styleId="PCHeadingslist">
    <w:name w:val="PC Headings list"/>
    <w:basedOn w:val="NoList"/>
    <w:uiPriority w:val="99"/>
    <w:rsid w:val="005D568A"/>
    <w:pPr>
      <w:numPr>
        <w:numId w:val="12"/>
      </w:numPr>
    </w:pPr>
  </w:style>
  <w:style w:type="numbering" w:customStyle="1" w:styleId="PCNumberedlist">
    <w:name w:val="PC Numbered list"/>
    <w:uiPriority w:val="99"/>
    <w:rsid w:val="005D568A"/>
    <w:pPr>
      <w:numPr>
        <w:numId w:val="13"/>
      </w:numPr>
    </w:pPr>
  </w:style>
  <w:style w:type="table" w:customStyle="1" w:styleId="PCTable">
    <w:name w:val="PC Table"/>
    <w:basedOn w:val="TableNormal"/>
    <w:uiPriority w:val="99"/>
    <w:rsid w:val="005D568A"/>
    <w:pPr>
      <w:spacing w:after="0" w:line="240" w:lineRule="auto"/>
    </w:pPr>
    <w:rPr>
      <w:rFonts w:ascii="Avenir LT Std 35 Light" w:eastAsia="Times New Roman" w:hAnsi="Avenir LT Std 35 Light" w:cs="Times New Roman"/>
      <w:sz w:val="20"/>
      <w:szCs w:val="20"/>
      <w:lang w:eastAsia="en-NZ"/>
    </w:rPr>
    <w:tblPr>
      <w:tblInd w:w="0" w:type="dxa"/>
      <w:tblBorders>
        <w:insideH w:val="single" w:sz="2"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rFonts w:ascii="Avenir LT Std 55 Roman" w:hAnsi="Avenir LT Std 55 Roman"/>
        <w:bCs/>
        <w:color w:val="FFFFFF" w:themeColor="background1"/>
      </w:rPr>
      <w:tblPr/>
      <w:tcPr>
        <w:shd w:val="clear" w:color="auto" w:fill="595959" w:themeFill="text1" w:themeFillTint="A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rPr>
        <w:rFonts w:ascii="Avenir LT Std 35 Light" w:hAnsi="Avenir LT Std 35 Light"/>
      </w:rPr>
      <w:tblPr/>
      <w:tcPr>
        <w:tcBorders>
          <w:top w:val="nil"/>
          <w:left w:val="nil"/>
          <w:bottom w:val="nil"/>
          <w:right w:val="nil"/>
          <w:insideH w:val="single" w:sz="2" w:space="0" w:color="auto"/>
          <w:insideV w:val="nil"/>
          <w:tl2br w:val="nil"/>
          <w:tr2bl w:val="nil"/>
        </w:tcBorders>
        <w:shd w:val="clear" w:color="auto" w:fill="FAFCFD"/>
      </w:tcPr>
    </w:tblStylePr>
    <w:tblStylePr w:type="band2Horz">
      <w:rPr>
        <w:rFonts w:ascii="Avenir LT Std 35 Light" w:hAnsi="Avenir LT Std 35 Light"/>
      </w:rPr>
      <w:tblPr/>
      <w:tcPr>
        <w:tcBorders>
          <w:top w:val="single" w:sz="2" w:space="0" w:color="auto"/>
          <w:left w:val="nil"/>
          <w:bottom w:val="single" w:sz="2" w:space="0" w:color="auto"/>
          <w:right w:val="nil"/>
          <w:insideH w:val="single" w:sz="2" w:space="0" w:color="auto"/>
          <w:insideV w:val="nil"/>
        </w:tcBorders>
        <w:shd w:val="clear" w:color="auto" w:fill="F1F7FA"/>
      </w:tcPr>
    </w:tblStylePr>
  </w:style>
  <w:style w:type="table" w:customStyle="1" w:styleId="ProdCommTable">
    <w:name w:val="Prod Comm Table"/>
    <w:basedOn w:val="TableNormal"/>
    <w:uiPriority w:val="99"/>
    <w:rsid w:val="005D568A"/>
    <w:pPr>
      <w:spacing w:after="0" w:line="240" w:lineRule="auto"/>
    </w:pPr>
    <w:rPr>
      <w:rFonts w:ascii="Avenir LT Std 35 Light" w:eastAsia="Times New Roman" w:hAnsi="Avenir LT Std 35 Light" w:cs="Times New Roman"/>
      <w:sz w:val="20"/>
      <w:szCs w:val="20"/>
      <w:lang w:eastAsia="en-NZ"/>
    </w:rPr>
    <w:tblPr>
      <w:tblStyleRowBandSize w:val="1"/>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Avenir LT Std 55 Roman" w:hAnsi="Avenir LT Std 55 Roman"/>
        <w:b w:val="0"/>
        <w:bCs/>
        <w:color w:val="FFFFFF" w:themeColor="background1"/>
      </w:rPr>
      <w:tblPr/>
      <w:tcPr>
        <w:tcBorders>
          <w:bottom w:val="single" w:sz="12" w:space="0" w:color="000000"/>
          <w:tl2br w:val="none" w:sz="0" w:space="0" w:color="auto"/>
          <w:tr2bl w:val="none" w:sz="0" w:space="0" w:color="auto"/>
        </w:tcBorders>
        <w:shd w:val="clear" w:color="auto" w:fill="595959" w:themeFill="text1" w:themeFillTint="A6"/>
      </w:tcPr>
    </w:tblStylePr>
    <w:tblStylePr w:type="lastRow">
      <w:rPr>
        <w:rFonts w:ascii="Avenir LT Std 35 Light" w:hAnsi="Avenir LT Std 35 Light"/>
        <w:i w:val="0"/>
        <w:sz w:val="18"/>
      </w:rPr>
      <w:tblPr/>
      <w:tcPr>
        <w:tcBorders>
          <w:top w:val="single" w:sz="12" w:space="0" w:color="000000"/>
          <w:tl2br w:val="none" w:sz="0" w:space="0" w:color="auto"/>
          <w:tr2bl w:val="none" w:sz="0" w:space="0" w:color="auto"/>
        </w:tcBorders>
      </w:tcPr>
    </w:tblStylePr>
    <w:tblStylePr w:type="band1Horz">
      <w:rPr>
        <w:rFonts w:ascii="Avenir LT Std 35 Light" w:hAnsi="Avenir LT Std 35 Light"/>
        <w:sz w:val="18"/>
      </w:rPr>
      <w:tblPr/>
      <w:tcPr>
        <w:shd w:val="clear" w:color="auto" w:fill="FAFCFD"/>
      </w:tcPr>
    </w:tblStylePr>
    <w:tblStylePr w:type="band2Horz">
      <w:tblPr/>
      <w:tcPr>
        <w:shd w:val="clear" w:color="auto" w:fill="F1F7FA"/>
      </w:tcPr>
    </w:tblStylePr>
    <w:tblStylePr w:type="swCell">
      <w:rPr>
        <w:i/>
        <w:iCs/>
        <w:color w:val="000080"/>
      </w:rPr>
      <w:tblPr/>
      <w:tcPr>
        <w:tcBorders>
          <w:tl2br w:val="none" w:sz="0" w:space="0" w:color="auto"/>
          <w:tr2bl w:val="none" w:sz="0" w:space="0" w:color="auto"/>
        </w:tcBorders>
      </w:tcPr>
    </w:tblStylePr>
  </w:style>
  <w:style w:type="paragraph" w:customStyle="1" w:styleId="Question">
    <w:name w:val="Question"/>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Questionsummary">
    <w:name w:val="Question summary"/>
    <w:basedOn w:val="BodyText"/>
    <w:uiPriority w:val="19"/>
    <w:semiHidden/>
    <w:rsid w:val="005D568A"/>
    <w:pPr>
      <w:spacing w:before="120" w:after="60" w:line="250" w:lineRule="atLeast"/>
    </w:pPr>
  </w:style>
  <w:style w:type="paragraph" w:customStyle="1" w:styleId="Quotetext">
    <w:name w:val="Quote text"/>
    <w:basedOn w:val="Normal"/>
    <w:uiPriority w:val="10"/>
    <w:semiHidden/>
    <w:rsid w:val="005D568A"/>
    <w:pPr>
      <w:spacing w:before="100" w:after="120" w:line="240" w:lineRule="atLeast"/>
      <w:ind w:left="425" w:right="425"/>
    </w:pPr>
    <w:rPr>
      <w:color w:val="262626" w:themeColor="text1" w:themeTint="D9"/>
      <w:sz w:val="19"/>
    </w:rPr>
  </w:style>
  <w:style w:type="paragraph" w:customStyle="1" w:styleId="Quotereference">
    <w:name w:val="Quote reference"/>
    <w:basedOn w:val="Quotetext"/>
    <w:uiPriority w:val="11"/>
    <w:semiHidden/>
    <w:rsid w:val="005D568A"/>
    <w:pPr>
      <w:spacing w:line="230" w:lineRule="atLeast"/>
      <w:jc w:val="right"/>
    </w:pPr>
    <w:rPr>
      <w:noProof/>
      <w:color w:val="404040" w:themeColor="text1" w:themeTint="BF"/>
      <w:sz w:val="17"/>
    </w:rPr>
  </w:style>
  <w:style w:type="paragraph" w:customStyle="1" w:styleId="TableBody">
    <w:name w:val="Table Body"/>
    <w:basedOn w:val="BodyText"/>
    <w:uiPriority w:val="15"/>
    <w:rsid w:val="005D568A"/>
    <w:pPr>
      <w:spacing w:after="120" w:line="250" w:lineRule="atLeast"/>
    </w:pPr>
    <w:rPr>
      <w:color w:val="595959" w:themeColor="text1" w:themeTint="A6"/>
      <w:sz w:val="18"/>
    </w:rPr>
  </w:style>
  <w:style w:type="paragraph" w:customStyle="1" w:styleId="Tablerowheader">
    <w:name w:val="Table row header"/>
    <w:basedOn w:val="BodyText"/>
    <w:uiPriority w:val="14"/>
    <w:rsid w:val="005D568A"/>
    <w:pPr>
      <w:keepNext/>
      <w:spacing w:before="120" w:after="120" w:line="250" w:lineRule="atLeast"/>
    </w:pPr>
    <w:rPr>
      <w:rFonts w:ascii="AvenirMaoriBold" w:hAnsi="AvenirMaoriBold"/>
      <w:color w:val="F2F2F2" w:themeColor="background1" w:themeShade="F2"/>
    </w:rPr>
  </w:style>
  <w:style w:type="paragraph" w:customStyle="1" w:styleId="Tablesource">
    <w:name w:val="Table source"/>
    <w:basedOn w:val="BodyText"/>
    <w:next w:val="Normal"/>
    <w:uiPriority w:val="15"/>
    <w:rsid w:val="005D568A"/>
    <w:pPr>
      <w:tabs>
        <w:tab w:val="left" w:pos="709"/>
      </w:tabs>
      <w:spacing w:before="60" w:after="120" w:line="180" w:lineRule="atLeast"/>
      <w:ind w:left="709" w:hanging="709"/>
    </w:pPr>
    <w:rPr>
      <w:sz w:val="16"/>
    </w:rPr>
  </w:style>
  <w:style w:type="paragraph" w:customStyle="1" w:styleId="Termbodytext">
    <w:name w:val="Term body text"/>
    <w:basedOn w:val="BodyText"/>
    <w:uiPriority w:val="19"/>
    <w:semiHidden/>
    <w:rsid w:val="005D568A"/>
    <w:pPr>
      <w:spacing w:after="120" w:line="240" w:lineRule="atLeast"/>
    </w:pPr>
    <w:rPr>
      <w:sz w:val="18"/>
    </w:rPr>
  </w:style>
  <w:style w:type="paragraph" w:customStyle="1" w:styleId="Termheading">
    <w:name w:val="Term heading"/>
    <w:basedOn w:val="Termbodytext"/>
    <w:uiPriority w:val="19"/>
    <w:semiHidden/>
    <w:rsid w:val="005D568A"/>
    <w:rPr>
      <w:rFonts w:ascii="AvenirMaoriBold" w:hAnsi="AvenirMaoriBold"/>
    </w:rPr>
  </w:style>
  <w:style w:type="paragraph" w:customStyle="1" w:styleId="Title1">
    <w:name w:val="Title 1"/>
    <w:basedOn w:val="Normal"/>
    <w:next w:val="BodyText"/>
    <w:uiPriority w:val="19"/>
    <w:semiHidden/>
    <w:rsid w:val="005D568A"/>
    <w:pPr>
      <w:spacing w:before="4876" w:after="300" w:line="900" w:lineRule="atLeast"/>
    </w:pPr>
    <w:rPr>
      <w:rFonts w:ascii="AvenirMaoriBold" w:hAnsi="AvenirMaoriBold"/>
      <w:color w:val="7F7F7F" w:themeColor="text1" w:themeTint="80"/>
      <w:sz w:val="90"/>
    </w:rPr>
  </w:style>
  <w:style w:type="paragraph" w:customStyle="1" w:styleId="Title2">
    <w:name w:val="Title 2"/>
    <w:basedOn w:val="Title1"/>
    <w:uiPriority w:val="19"/>
    <w:semiHidden/>
    <w:rsid w:val="005D568A"/>
    <w:pPr>
      <w:spacing w:before="0" w:after="0" w:line="480" w:lineRule="atLeast"/>
    </w:pPr>
    <w:rPr>
      <w:sz w:val="40"/>
    </w:rPr>
  </w:style>
  <w:style w:type="paragraph" w:styleId="TOC1">
    <w:name w:val="toc 1"/>
    <w:basedOn w:val="Normal"/>
    <w:next w:val="Normal"/>
    <w:autoRedefine/>
    <w:uiPriority w:val="39"/>
    <w:rsid w:val="005D568A"/>
    <w:pPr>
      <w:tabs>
        <w:tab w:val="right" w:leader="dot" w:pos="9639"/>
      </w:tabs>
      <w:spacing w:before="120" w:line="270" w:lineRule="atLeast"/>
      <w:ind w:left="567" w:hanging="567"/>
    </w:pPr>
    <w:rPr>
      <w:rFonts w:ascii="AvenirMaoriBold" w:hAnsi="AvenirMaoriBold"/>
    </w:rPr>
  </w:style>
  <w:style w:type="paragraph" w:styleId="TOC2">
    <w:name w:val="toc 2"/>
    <w:basedOn w:val="Normal"/>
    <w:next w:val="Normal"/>
    <w:autoRedefine/>
    <w:uiPriority w:val="39"/>
    <w:rsid w:val="005D568A"/>
    <w:pPr>
      <w:tabs>
        <w:tab w:val="right" w:leader="dot" w:pos="9639"/>
      </w:tabs>
      <w:spacing w:line="270" w:lineRule="atLeast"/>
      <w:ind w:left="1134" w:right="567" w:hanging="567"/>
    </w:pPr>
  </w:style>
  <w:style w:type="paragraph" w:styleId="TOC3">
    <w:name w:val="toc 3"/>
    <w:basedOn w:val="Normal"/>
    <w:next w:val="Normal"/>
    <w:autoRedefine/>
    <w:uiPriority w:val="39"/>
    <w:rsid w:val="005D568A"/>
    <w:pPr>
      <w:tabs>
        <w:tab w:val="right" w:pos="8505"/>
      </w:tabs>
      <w:spacing w:before="110" w:line="270" w:lineRule="atLeast"/>
      <w:ind w:left="1701" w:right="1134" w:hanging="567"/>
    </w:pPr>
    <w:rPr>
      <w:b/>
    </w:rPr>
  </w:style>
  <w:style w:type="paragraph" w:styleId="TOC4">
    <w:name w:val="toc 4"/>
    <w:basedOn w:val="Normal"/>
    <w:next w:val="Normal"/>
    <w:autoRedefine/>
    <w:uiPriority w:val="39"/>
    <w:semiHidden/>
    <w:rsid w:val="005D568A"/>
    <w:pPr>
      <w:tabs>
        <w:tab w:val="right" w:pos="8505"/>
      </w:tabs>
      <w:spacing w:before="110"/>
      <w:ind w:left="1701" w:right="1134" w:hanging="567"/>
    </w:pPr>
  </w:style>
  <w:style w:type="paragraph" w:styleId="TOC5">
    <w:name w:val="toc 5"/>
    <w:basedOn w:val="Normal"/>
    <w:next w:val="Normal"/>
    <w:autoRedefine/>
    <w:uiPriority w:val="39"/>
    <w:semiHidden/>
    <w:rsid w:val="005D568A"/>
    <w:pPr>
      <w:tabs>
        <w:tab w:val="right" w:pos="8505"/>
      </w:tabs>
      <w:spacing w:before="110" w:after="100"/>
      <w:ind w:left="1134" w:right="1134" w:hanging="567"/>
    </w:pPr>
  </w:style>
  <w:style w:type="paragraph" w:styleId="TOC6">
    <w:name w:val="toc 6"/>
    <w:basedOn w:val="Normal"/>
    <w:next w:val="Normal"/>
    <w:autoRedefine/>
    <w:uiPriority w:val="39"/>
    <w:semiHidden/>
    <w:rsid w:val="005D568A"/>
    <w:pPr>
      <w:tabs>
        <w:tab w:val="right" w:pos="8505"/>
      </w:tabs>
      <w:spacing w:before="110"/>
      <w:ind w:left="1134" w:right="1134" w:hanging="567"/>
    </w:pPr>
  </w:style>
  <w:style w:type="paragraph" w:styleId="TOC7">
    <w:name w:val="toc 7"/>
    <w:basedOn w:val="Normal"/>
    <w:next w:val="Normal"/>
    <w:autoRedefine/>
    <w:uiPriority w:val="39"/>
    <w:semiHidden/>
    <w:rsid w:val="005D568A"/>
    <w:pPr>
      <w:tabs>
        <w:tab w:val="right" w:pos="8505"/>
      </w:tabs>
      <w:spacing w:before="110"/>
      <w:ind w:left="1134" w:right="1134" w:hanging="567"/>
    </w:pPr>
  </w:style>
  <w:style w:type="paragraph" w:styleId="TOC8">
    <w:name w:val="toc 8"/>
    <w:basedOn w:val="Normal"/>
    <w:next w:val="Normal"/>
    <w:autoRedefine/>
    <w:uiPriority w:val="39"/>
    <w:semiHidden/>
    <w:rsid w:val="005D568A"/>
    <w:pPr>
      <w:tabs>
        <w:tab w:val="right" w:pos="8505"/>
      </w:tabs>
      <w:spacing w:before="110"/>
      <w:ind w:left="1134" w:right="1134" w:hanging="567"/>
    </w:pPr>
  </w:style>
  <w:style w:type="paragraph" w:styleId="TOC9">
    <w:name w:val="toc 9"/>
    <w:basedOn w:val="Normal"/>
    <w:next w:val="Normal"/>
    <w:autoRedefine/>
    <w:uiPriority w:val="39"/>
    <w:semiHidden/>
    <w:rsid w:val="005D568A"/>
    <w:pPr>
      <w:tabs>
        <w:tab w:val="right" w:pos="8505"/>
      </w:tabs>
      <w:spacing w:before="110"/>
      <w:ind w:left="1134" w:right="1134" w:hanging="567"/>
    </w:pPr>
  </w:style>
  <w:style w:type="paragraph" w:styleId="TOCHeading">
    <w:name w:val="TOC Heading"/>
    <w:basedOn w:val="Heading6"/>
    <w:next w:val="Normal"/>
    <w:uiPriority w:val="39"/>
    <w:semiHidden/>
    <w:rsid w:val="005D568A"/>
    <w:pPr>
      <w:outlineLvl w:val="9"/>
    </w:pPr>
    <w:rPr>
      <w:rFonts w:eastAsiaTheme="majorEastAsia" w:cstheme="majorBidi"/>
      <w:lang w:eastAsia="ja-JP"/>
    </w:rPr>
  </w:style>
  <w:style w:type="paragraph" w:customStyle="1" w:styleId="zHeaderOdd">
    <w:name w:val="z_Header Odd"/>
    <w:basedOn w:val="Normal"/>
    <w:semiHidden/>
    <w:rsid w:val="005D568A"/>
    <w:pPr>
      <w:tabs>
        <w:tab w:val="right" w:pos="9639"/>
        <w:tab w:val="left" w:pos="10206"/>
      </w:tabs>
      <w:spacing w:line="288" w:lineRule="atLeast"/>
    </w:pPr>
    <w:rPr>
      <w:color w:val="808080" w:themeColor="background1" w:themeShade="80"/>
      <w:sz w:val="18"/>
      <w:szCs w:val="20"/>
    </w:rPr>
  </w:style>
  <w:style w:type="paragraph" w:customStyle="1" w:styleId="zFooterOddPortrait">
    <w:name w:val="z_Footer Odd Portrait"/>
    <w:basedOn w:val="Normal"/>
    <w:semiHidden/>
    <w:rsid w:val="005D568A"/>
    <w:pPr>
      <w:tabs>
        <w:tab w:val="right" w:pos="9072"/>
      </w:tabs>
      <w:spacing w:line="288" w:lineRule="atLeast"/>
      <w:jc w:val="right"/>
    </w:pPr>
    <w:rPr>
      <w:color w:val="808080" w:themeColor="background1" w:themeShade="80"/>
      <w:sz w:val="18"/>
      <w:szCs w:val="20"/>
    </w:rPr>
  </w:style>
  <w:style w:type="paragraph" w:customStyle="1" w:styleId="zHeaderEven">
    <w:name w:val="z_Header Even"/>
    <w:basedOn w:val="zHeaderOdd"/>
    <w:semiHidden/>
    <w:rsid w:val="005D568A"/>
    <w:pPr>
      <w:tabs>
        <w:tab w:val="clear" w:pos="9639"/>
        <w:tab w:val="left" w:pos="0"/>
      </w:tabs>
      <w:ind w:left="-567"/>
    </w:pPr>
  </w:style>
  <w:style w:type="paragraph" w:customStyle="1" w:styleId="zFooterEvenLandscape">
    <w:name w:val="z_Footer Even Landscape"/>
    <w:basedOn w:val="Normal"/>
    <w:semiHidden/>
    <w:rsid w:val="005D568A"/>
    <w:pPr>
      <w:tabs>
        <w:tab w:val="right" w:pos="14005"/>
      </w:tabs>
    </w:pPr>
    <w:rPr>
      <w:szCs w:val="20"/>
    </w:rPr>
  </w:style>
  <w:style w:type="paragraph" w:customStyle="1" w:styleId="zFooterEvenPortrait">
    <w:name w:val="z_Footer Even Portrait"/>
    <w:basedOn w:val="Normal"/>
    <w:semiHidden/>
    <w:rsid w:val="005D568A"/>
    <w:pPr>
      <w:tabs>
        <w:tab w:val="right" w:pos="9072"/>
      </w:tabs>
      <w:spacing w:line="288" w:lineRule="atLeast"/>
    </w:pPr>
    <w:rPr>
      <w:color w:val="808080" w:themeColor="background1" w:themeShade="80"/>
      <w:sz w:val="18"/>
      <w:szCs w:val="20"/>
    </w:rPr>
  </w:style>
  <w:style w:type="paragraph" w:customStyle="1" w:styleId="zFooterOddLandscape">
    <w:name w:val="z_Footer Odd Landscape"/>
    <w:basedOn w:val="Normal"/>
    <w:semiHidden/>
    <w:rsid w:val="005D568A"/>
    <w:pPr>
      <w:tabs>
        <w:tab w:val="right" w:pos="14005"/>
      </w:tabs>
    </w:pPr>
    <w:rPr>
      <w:szCs w:val="20"/>
    </w:rPr>
  </w:style>
  <w:style w:type="paragraph" w:customStyle="1" w:styleId="zInstructionsBullet">
    <w:name w:val="z_Instructions Bullet"/>
    <w:basedOn w:val="zInstructions"/>
    <w:semiHidden/>
    <w:rsid w:val="005D568A"/>
    <w:pPr>
      <w:numPr>
        <w:numId w:val="5"/>
      </w:numPr>
    </w:pPr>
  </w:style>
  <w:style w:type="paragraph" w:customStyle="1" w:styleId="CaptionText">
    <w:name w:val="CaptionText"/>
    <w:basedOn w:val="BodyText"/>
    <w:next w:val="BodyText"/>
    <w:uiPriority w:val="18"/>
    <w:rsid w:val="005D568A"/>
    <w:pPr>
      <w:spacing w:before="120" w:after="120" w:line="260" w:lineRule="atLeast"/>
    </w:pPr>
    <w:rPr>
      <w:rFonts w:eastAsia="Times New Roman"/>
      <w:szCs w:val="24"/>
      <w:lang w:eastAsia="en-GB"/>
    </w:rPr>
  </w:style>
  <w:style w:type="character" w:styleId="CommentReference">
    <w:name w:val="annotation reference"/>
    <w:basedOn w:val="DefaultParagraphFont"/>
    <w:uiPriority w:val="99"/>
    <w:semiHidden/>
    <w:rsid w:val="005D568A"/>
    <w:rPr>
      <w:sz w:val="16"/>
      <w:szCs w:val="16"/>
    </w:rPr>
  </w:style>
  <w:style w:type="paragraph" w:customStyle="1" w:styleId="zTableheading">
    <w:name w:val="z_Table heading"/>
    <w:basedOn w:val="zTablebodytext"/>
    <w:semiHidden/>
    <w:rsid w:val="005D568A"/>
    <w:pPr>
      <w:keepNext/>
      <w:jc w:val="center"/>
    </w:pPr>
    <w:rPr>
      <w:b/>
      <w:color w:val="0038A8"/>
    </w:rPr>
  </w:style>
  <w:style w:type="paragraph" w:customStyle="1" w:styleId="zTablebodytext">
    <w:name w:val="z_Table body text"/>
    <w:basedOn w:val="BodyText"/>
    <w:semiHidden/>
    <w:rsid w:val="005D568A"/>
    <w:pPr>
      <w:spacing w:before="60" w:after="60" w:line="240" w:lineRule="auto"/>
    </w:pPr>
    <w:rPr>
      <w:rFonts w:ascii="Arial" w:eastAsia="Times New Roman" w:hAnsi="Arial"/>
      <w:sz w:val="18"/>
      <w:szCs w:val="24"/>
      <w:lang w:eastAsia="en-GB"/>
    </w:rPr>
  </w:style>
  <w:style w:type="paragraph" w:customStyle="1" w:styleId="Quotation">
    <w:name w:val="Quotation"/>
    <w:basedOn w:val="Normal"/>
    <w:uiPriority w:val="10"/>
    <w:qFormat/>
    <w:rsid w:val="005D568A"/>
    <w:pPr>
      <w:spacing w:before="100" w:after="120" w:line="240" w:lineRule="atLeast"/>
      <w:ind w:left="425" w:right="425"/>
    </w:pPr>
    <w:rPr>
      <w:color w:val="262626" w:themeColor="text1" w:themeTint="D9"/>
      <w:sz w:val="19"/>
    </w:rPr>
  </w:style>
  <w:style w:type="paragraph" w:customStyle="1" w:styleId="Quoteref">
    <w:name w:val="Quote ref"/>
    <w:basedOn w:val="Quotation"/>
    <w:uiPriority w:val="11"/>
    <w:qFormat/>
    <w:rsid w:val="005D568A"/>
    <w:pPr>
      <w:spacing w:line="230" w:lineRule="atLeast"/>
      <w:jc w:val="right"/>
    </w:pPr>
    <w:rPr>
      <w:noProof/>
      <w:color w:val="404040" w:themeColor="text1" w:themeTint="BF"/>
      <w:sz w:val="17"/>
    </w:rPr>
  </w:style>
  <w:style w:type="paragraph" w:customStyle="1" w:styleId="zReportDate">
    <w:name w:val="z_Report Date"/>
    <w:basedOn w:val="BodyText"/>
    <w:semiHidden/>
    <w:rsid w:val="005D568A"/>
    <w:pPr>
      <w:keepNext/>
      <w:spacing w:before="60" w:after="0" w:line="240" w:lineRule="auto"/>
      <w:jc w:val="both"/>
    </w:pPr>
    <w:rPr>
      <w:rFonts w:ascii="Arial" w:eastAsia="Times New Roman" w:hAnsi="Arial"/>
      <w:b/>
      <w:caps/>
      <w:sz w:val="22"/>
      <w:szCs w:val="20"/>
    </w:rPr>
  </w:style>
  <w:style w:type="paragraph" w:customStyle="1" w:styleId="zReportTitle">
    <w:name w:val="z_Report Title"/>
    <w:basedOn w:val="BodyText"/>
    <w:semiHidden/>
    <w:rsid w:val="005D568A"/>
    <w:pPr>
      <w:keepNext/>
      <w:spacing w:before="1440" w:after="284" w:line="240" w:lineRule="auto"/>
      <w:jc w:val="both"/>
    </w:pPr>
    <w:rPr>
      <w:rFonts w:ascii="Arial" w:eastAsia="Times New Roman" w:hAnsi="Arial"/>
      <w:b/>
      <w:sz w:val="60"/>
      <w:szCs w:val="20"/>
    </w:rPr>
  </w:style>
  <w:style w:type="paragraph" w:customStyle="1" w:styleId="zReportSubTitle">
    <w:name w:val="z_Report Sub Title"/>
    <w:basedOn w:val="BodyText"/>
    <w:semiHidden/>
    <w:rsid w:val="005D568A"/>
    <w:pPr>
      <w:keepNext/>
      <w:spacing w:before="60" w:after="1040" w:line="240" w:lineRule="auto"/>
      <w:jc w:val="both"/>
    </w:pPr>
    <w:rPr>
      <w:rFonts w:ascii="Arial" w:eastAsia="Times New Roman" w:hAnsi="Arial"/>
      <w:sz w:val="36"/>
      <w:szCs w:val="20"/>
    </w:rPr>
  </w:style>
  <w:style w:type="paragraph" w:customStyle="1" w:styleId="zReportAuthors">
    <w:name w:val="z_Report Authors"/>
    <w:basedOn w:val="BodyText"/>
    <w:semiHidden/>
    <w:rsid w:val="005D568A"/>
    <w:pPr>
      <w:keepNext/>
      <w:spacing w:before="60" w:after="0" w:line="240" w:lineRule="auto"/>
      <w:jc w:val="both"/>
    </w:pPr>
    <w:rPr>
      <w:rFonts w:eastAsia="Times New Roman"/>
      <w:sz w:val="28"/>
      <w:szCs w:val="20"/>
    </w:rPr>
  </w:style>
  <w:style w:type="paragraph" w:customStyle="1" w:styleId="Questionsummarytext">
    <w:name w:val="Question summary text"/>
    <w:basedOn w:val="BodyText"/>
    <w:uiPriority w:val="20"/>
    <w:semiHidden/>
    <w:rsid w:val="005D568A"/>
    <w:pPr>
      <w:spacing w:before="120" w:after="60"/>
    </w:pPr>
  </w:style>
  <w:style w:type="paragraph" w:customStyle="1" w:styleId="Finding">
    <w:name w:val="Finding"/>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Recommendation">
    <w:name w:val="Recommendation"/>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Notesbodytext">
    <w:name w:val="Notes body text"/>
    <w:basedOn w:val="BodyText"/>
    <w:uiPriority w:val="20"/>
    <w:semiHidden/>
    <w:rsid w:val="005D568A"/>
    <w:pPr>
      <w:numPr>
        <w:numId w:val="16"/>
      </w:numPr>
      <w:spacing w:before="60" w:after="40" w:line="180" w:lineRule="atLeast"/>
    </w:pPr>
    <w:rPr>
      <w:sz w:val="16"/>
    </w:rPr>
  </w:style>
  <w:style w:type="numbering" w:customStyle="1" w:styleId="PCTableNotesList">
    <w:name w:val="PC Table Notes List"/>
    <w:uiPriority w:val="99"/>
    <w:rsid w:val="005D568A"/>
    <w:pPr>
      <w:numPr>
        <w:numId w:val="16"/>
      </w:numPr>
    </w:pPr>
  </w:style>
  <w:style w:type="paragraph" w:customStyle="1" w:styleId="Notesheading">
    <w:name w:val="Notes heading"/>
    <w:basedOn w:val="Notesbodytext"/>
    <w:next w:val="Notesbodytext"/>
    <w:uiPriority w:val="20"/>
    <w:semiHidden/>
    <w:rsid w:val="005D568A"/>
    <w:pPr>
      <w:keepNext/>
      <w:numPr>
        <w:numId w:val="0"/>
      </w:numPr>
    </w:pPr>
    <w:rPr>
      <w:i/>
    </w:rPr>
  </w:style>
  <w:style w:type="numbering" w:customStyle="1" w:styleId="PCTablenoteslist0">
    <w:name w:val="PC Table noteslist"/>
    <w:uiPriority w:val="99"/>
    <w:rsid w:val="005D568A"/>
    <w:pPr>
      <w:numPr>
        <w:numId w:val="7"/>
      </w:numPr>
    </w:pPr>
  </w:style>
  <w:style w:type="paragraph" w:customStyle="1" w:styleId="Bullet2Blue">
    <w:name w:val="Bullet 2 Blue"/>
    <w:basedOn w:val="BodyText"/>
    <w:uiPriority w:val="14"/>
    <w:qFormat/>
    <w:rsid w:val="005D568A"/>
    <w:pPr>
      <w:numPr>
        <w:ilvl w:val="1"/>
        <w:numId w:val="6"/>
      </w:numPr>
    </w:pPr>
  </w:style>
  <w:style w:type="character" w:styleId="EndnoteReference">
    <w:name w:val="endnote reference"/>
    <w:basedOn w:val="DefaultParagraphFont"/>
    <w:semiHidden/>
    <w:rsid w:val="005D568A"/>
    <w:rPr>
      <w:vertAlign w:val="superscript"/>
    </w:rPr>
  </w:style>
  <w:style w:type="numbering" w:customStyle="1" w:styleId="PCTableBulletList">
    <w:name w:val="PC Table Bullet List"/>
    <w:basedOn w:val="NoList"/>
    <w:uiPriority w:val="99"/>
    <w:rsid w:val="005D568A"/>
    <w:pPr>
      <w:numPr>
        <w:numId w:val="14"/>
      </w:numPr>
    </w:pPr>
  </w:style>
  <w:style w:type="numbering" w:customStyle="1" w:styleId="PCTablenotes">
    <w:name w:val="PC Table notes"/>
    <w:uiPriority w:val="99"/>
    <w:rsid w:val="005D568A"/>
    <w:pPr>
      <w:numPr>
        <w:numId w:val="15"/>
      </w:numPr>
    </w:pPr>
  </w:style>
  <w:style w:type="paragraph" w:customStyle="1" w:styleId="TableBullet">
    <w:name w:val="Table Bullet"/>
    <w:basedOn w:val="TableBody"/>
    <w:uiPriority w:val="15"/>
    <w:qFormat/>
    <w:rsid w:val="005D568A"/>
    <w:pPr>
      <w:numPr>
        <w:numId w:val="14"/>
      </w:numPr>
    </w:pPr>
  </w:style>
  <w:style w:type="paragraph" w:styleId="Title">
    <w:name w:val="Title"/>
    <w:basedOn w:val="Normal"/>
    <w:next w:val="Normal"/>
    <w:link w:val="TitleChar"/>
    <w:rsid w:val="005D568A"/>
    <w:pPr>
      <w:pBdr>
        <w:bottom w:val="single" w:sz="8" w:space="4" w:color="4F81BD" w:themeColor="accent1"/>
      </w:pBdr>
      <w:spacing w:after="300"/>
      <w:contextualSpacing/>
    </w:pPr>
    <w:rPr>
      <w:rFonts w:ascii="AvenirMaoriBold" w:eastAsiaTheme="majorEastAsia" w:hAnsi="AvenirMaoriBold" w:cstheme="majorBidi"/>
      <w:color w:val="17365D" w:themeColor="text2" w:themeShade="BF"/>
      <w:spacing w:val="5"/>
      <w:kern w:val="28"/>
      <w:sz w:val="52"/>
      <w:szCs w:val="52"/>
    </w:rPr>
  </w:style>
  <w:style w:type="character" w:customStyle="1" w:styleId="TitleChar">
    <w:name w:val="Title Char"/>
    <w:basedOn w:val="DefaultParagraphFont"/>
    <w:link w:val="Title"/>
    <w:rsid w:val="005D568A"/>
    <w:rPr>
      <w:rFonts w:ascii="AvenirMaoriBold" w:eastAsiaTheme="majorEastAsia" w:hAnsi="AvenirMaoriBold" w:cstheme="majorBidi"/>
      <w:color w:val="17365D" w:themeColor="text2" w:themeShade="BF"/>
      <w:spacing w:val="5"/>
      <w:kern w:val="28"/>
      <w:sz w:val="52"/>
      <w:szCs w:val="52"/>
    </w:rPr>
  </w:style>
  <w:style w:type="character" w:customStyle="1" w:styleId="Boxcharacter">
    <w:name w:val="Box character"/>
    <w:basedOn w:val="DefaultParagraphFont"/>
    <w:uiPriority w:val="18"/>
    <w:qFormat/>
    <w:rsid w:val="005D568A"/>
    <w:rPr>
      <w:b/>
    </w:rPr>
  </w:style>
  <w:style w:type="paragraph" w:customStyle="1" w:styleId="NumberedHeading3">
    <w:name w:val="Numbered Heading 3"/>
    <w:basedOn w:val="Normal"/>
    <w:next w:val="BodyText"/>
    <w:uiPriority w:val="2"/>
    <w:qFormat/>
    <w:rsid w:val="005D568A"/>
    <w:pPr>
      <w:keepNext/>
      <w:keepLines/>
      <w:numPr>
        <w:ilvl w:val="2"/>
        <w:numId w:val="12"/>
      </w:numPr>
      <w:spacing w:before="40" w:after="80" w:line="300" w:lineRule="atLeast"/>
      <w:outlineLvl w:val="2"/>
    </w:pPr>
    <w:rPr>
      <w:rFonts w:ascii="AvenirMaoriBold" w:hAnsi="AvenirMaoriBold"/>
      <w:sz w:val="26"/>
    </w:rPr>
  </w:style>
  <w:style w:type="paragraph" w:customStyle="1" w:styleId="Appendixsubheading">
    <w:name w:val="Appendix sub heading"/>
    <w:basedOn w:val="Normal"/>
    <w:next w:val="BodyText"/>
    <w:uiPriority w:val="19"/>
    <w:qFormat/>
    <w:rsid w:val="005D568A"/>
    <w:pPr>
      <w:keepNext/>
      <w:keepLines/>
      <w:numPr>
        <w:ilvl w:val="1"/>
        <w:numId w:val="9"/>
      </w:numPr>
      <w:spacing w:before="160" w:after="160" w:line="340" w:lineRule="atLeast"/>
      <w:outlineLvl w:val="1"/>
    </w:pPr>
    <w:rPr>
      <w:rFonts w:ascii="AvenirMaoriBold" w:hAnsi="AvenirMaoriBold"/>
      <w:color w:val="4298B5"/>
      <w:sz w:val="30"/>
    </w:rPr>
  </w:style>
  <w:style w:type="paragraph" w:customStyle="1" w:styleId="OverviewCaption">
    <w:name w:val="Overview Caption"/>
    <w:basedOn w:val="BodyText"/>
    <w:next w:val="BodyText"/>
    <w:uiPriority w:val="19"/>
    <w:qFormat/>
    <w:rsid w:val="005D568A"/>
    <w:pPr>
      <w:keepNext/>
      <w:numPr>
        <w:numId w:val="17"/>
      </w:numPr>
      <w:spacing w:before="120" w:after="120" w:line="260" w:lineRule="atLeast"/>
    </w:pPr>
    <w:rPr>
      <w:b/>
    </w:rPr>
  </w:style>
  <w:style w:type="paragraph" w:customStyle="1" w:styleId="OverviewHeading2">
    <w:name w:val="Overview Heading 2"/>
    <w:basedOn w:val="Normal"/>
    <w:next w:val="BodyText"/>
    <w:uiPriority w:val="19"/>
    <w:qFormat/>
    <w:rsid w:val="005D568A"/>
    <w:pPr>
      <w:keepNext/>
      <w:keepLines/>
      <w:spacing w:before="160" w:after="160" w:line="340" w:lineRule="atLeast"/>
      <w:outlineLvl w:val="1"/>
    </w:pPr>
    <w:rPr>
      <w:rFonts w:ascii="AvenirMaoriBold" w:hAnsi="AvenirMaoriBold"/>
      <w:color w:val="4298B5"/>
      <w:sz w:val="30"/>
    </w:rPr>
  </w:style>
  <w:style w:type="numbering" w:customStyle="1" w:styleId="PCOverviewCaptionlist">
    <w:name w:val="PC Overview Caption list"/>
    <w:basedOn w:val="NoList"/>
    <w:uiPriority w:val="99"/>
    <w:rsid w:val="005D568A"/>
    <w:pPr>
      <w:numPr>
        <w:numId w:val="17"/>
      </w:numPr>
    </w:pPr>
  </w:style>
  <w:style w:type="paragraph" w:styleId="BodyTextIndent">
    <w:name w:val="Body Text Indent"/>
    <w:basedOn w:val="Normal"/>
    <w:link w:val="BodyTextIndentChar"/>
    <w:uiPriority w:val="9"/>
    <w:rsid w:val="005D568A"/>
    <w:pPr>
      <w:spacing w:after="120"/>
      <w:ind w:left="283"/>
    </w:pPr>
  </w:style>
  <w:style w:type="character" w:customStyle="1" w:styleId="BodyTextIndentChar">
    <w:name w:val="Body Text Indent Char"/>
    <w:basedOn w:val="DefaultParagraphFont"/>
    <w:link w:val="BodyTextIndent"/>
    <w:uiPriority w:val="9"/>
    <w:rsid w:val="005D568A"/>
    <w:rPr>
      <w:rFonts w:ascii="AvenirMaoriLight" w:eastAsia="Calibri" w:hAnsi="AvenirMaoriLight" w:cs="Times New Roman"/>
      <w:sz w:val="20"/>
    </w:rPr>
  </w:style>
  <w:style w:type="paragraph" w:styleId="CommentText">
    <w:name w:val="annotation text"/>
    <w:basedOn w:val="Normal"/>
    <w:link w:val="CommentTextChar"/>
    <w:uiPriority w:val="99"/>
    <w:semiHidden/>
    <w:rsid w:val="005D568A"/>
    <w:rPr>
      <w:szCs w:val="20"/>
    </w:rPr>
  </w:style>
  <w:style w:type="character" w:customStyle="1" w:styleId="CommentTextChar">
    <w:name w:val="Comment Text Char"/>
    <w:basedOn w:val="DefaultParagraphFont"/>
    <w:link w:val="CommentText"/>
    <w:uiPriority w:val="99"/>
    <w:semiHidden/>
    <w:rsid w:val="005D568A"/>
    <w:rPr>
      <w:rFonts w:ascii="AvenirMaoriLight" w:eastAsia="Calibri" w:hAnsi="AvenirMaoriLight" w:cs="Times New Roman"/>
      <w:sz w:val="20"/>
      <w:szCs w:val="20"/>
    </w:rPr>
  </w:style>
  <w:style w:type="character" w:styleId="LineNumber">
    <w:name w:val="line number"/>
    <w:basedOn w:val="DefaultParagraphFont"/>
    <w:semiHidden/>
    <w:rsid w:val="005D568A"/>
  </w:style>
  <w:style w:type="table" w:styleId="LightShading">
    <w:name w:val="Light Shading"/>
    <w:basedOn w:val="TableNormal"/>
    <w:uiPriority w:val="60"/>
    <w:rsid w:val="005D568A"/>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5D568A"/>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5D568A"/>
    <w:pPr>
      <w:spacing w:before="100" w:beforeAutospacing="1" w:after="100" w:afterAutospacing="1"/>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F50BF3"/>
  </w:style>
  <w:style w:type="character" w:styleId="Emphasis">
    <w:name w:val="Emphasis"/>
    <w:basedOn w:val="DefaultParagraphFont"/>
    <w:uiPriority w:val="20"/>
    <w:qFormat/>
    <w:rsid w:val="006270A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0" w:unhideWhenUsed="0" w:qFormat="1"/>
    <w:lsdException w:name="heading 2" w:uiPriority="1" w:qFormat="1"/>
    <w:lsdException w:name="heading 3" w:uiPriority="3" w:qFormat="1"/>
    <w:lsdException w:name="heading 4" w:uiPriority="3" w:qFormat="1"/>
    <w:lsdException w:name="heading 5" w:uiPriority="4" w:qFormat="1"/>
    <w:lsdException w:name="heading 6" w:uiPriority="2" w:qFormat="1"/>
    <w:lsdException w:name="heading 7" w:uiPriority="1" w:qFormat="1"/>
    <w:lsdException w:name="heading 8" w:uiPriority="1"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8"/>
    <w:lsdException w:name="header" w:uiPriority="19"/>
    <w:lsdException w:name="footer" w:uiPriority="19"/>
    <w:lsdException w:name="caption" w:uiPriority="18" w:qFormat="1"/>
    <w:lsdException w:name="envelope address" w:uiPriority="24"/>
    <w:lsdException w:name="envelope return" w:uiPriority="24"/>
    <w:lsdException w:name="footnote reference" w:uiPriority="18"/>
    <w:lsdException w:name="line number" w:uiPriority="0"/>
    <w:lsdException w:name="page number" w:uiPriority="19"/>
    <w:lsdException w:name="endnote reference" w:uiPriority="0"/>
    <w:lsdException w:name="endnote text" w:uiPriority="24"/>
    <w:lsdException w:name="Title" w:semiHidden="0" w:uiPriority="0" w:unhideWhenUsed="0" w:qFormat="1"/>
    <w:lsdException w:name="Default Paragraph Font" w:uiPriority="1"/>
    <w:lsdException w:name="Body Text" w:uiPriority="8" w:qFormat="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29"/>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ingle space"/>
    <w:uiPriority w:val="9"/>
    <w:qFormat/>
    <w:rsid w:val="005D568A"/>
    <w:pPr>
      <w:spacing w:after="0" w:line="240" w:lineRule="auto"/>
    </w:pPr>
    <w:rPr>
      <w:rFonts w:ascii="AvenirMaoriLight" w:eastAsia="Calibri" w:hAnsi="AvenirMaoriLight" w:cs="Times New Roman"/>
      <w:sz w:val="20"/>
    </w:rPr>
  </w:style>
  <w:style w:type="paragraph" w:styleId="Heading1">
    <w:name w:val="heading 1"/>
    <w:aliases w:val="Chapt head"/>
    <w:basedOn w:val="Normal"/>
    <w:next w:val="Introtext"/>
    <w:link w:val="Heading1Char"/>
    <w:qFormat/>
    <w:rsid w:val="005D568A"/>
    <w:pPr>
      <w:keepNext/>
      <w:keepLines/>
      <w:pageBreakBefore/>
      <w:numPr>
        <w:numId w:val="12"/>
      </w:numPr>
      <w:spacing w:after="320" w:line="540" w:lineRule="atLeast"/>
      <w:outlineLvl w:val="0"/>
    </w:pPr>
    <w:rPr>
      <w:rFonts w:ascii="AvenirMaoriBold" w:eastAsia="Times New Roman" w:hAnsi="AvenirMaoriBold"/>
      <w:bCs/>
      <w:color w:val="DC8633"/>
      <w:sz w:val="48"/>
      <w:szCs w:val="28"/>
    </w:rPr>
  </w:style>
  <w:style w:type="paragraph" w:styleId="Heading2">
    <w:name w:val="heading 2"/>
    <w:aliases w:val="Chapt sub"/>
    <w:basedOn w:val="Normal"/>
    <w:next w:val="BodyText"/>
    <w:link w:val="Heading2Char"/>
    <w:uiPriority w:val="1"/>
    <w:qFormat/>
    <w:rsid w:val="005D568A"/>
    <w:pPr>
      <w:keepNext/>
      <w:keepLines/>
      <w:numPr>
        <w:ilvl w:val="1"/>
        <w:numId w:val="12"/>
      </w:numPr>
      <w:spacing w:before="160" w:after="160" w:line="340" w:lineRule="atLeast"/>
      <w:outlineLvl w:val="1"/>
    </w:pPr>
    <w:rPr>
      <w:rFonts w:ascii="AvenirMaoriBold" w:eastAsia="Times New Roman" w:hAnsi="AvenirMaoriBold"/>
      <w:bCs/>
      <w:color w:val="4298B5"/>
      <w:sz w:val="30"/>
      <w:szCs w:val="26"/>
    </w:rPr>
  </w:style>
  <w:style w:type="paragraph" w:styleId="Heading3">
    <w:name w:val="heading 3"/>
    <w:basedOn w:val="Normal"/>
    <w:next w:val="BodyText"/>
    <w:link w:val="Heading3Char"/>
    <w:uiPriority w:val="3"/>
    <w:qFormat/>
    <w:rsid w:val="005D568A"/>
    <w:pPr>
      <w:keepNext/>
      <w:keepLines/>
      <w:spacing w:before="40" w:after="80" w:line="300" w:lineRule="atLeast"/>
      <w:outlineLvl w:val="2"/>
    </w:pPr>
    <w:rPr>
      <w:rFonts w:ascii="AvenirMaoriBold" w:eastAsia="Times New Roman" w:hAnsi="AvenirMaoriBold"/>
      <w:bCs/>
      <w:sz w:val="26"/>
    </w:rPr>
  </w:style>
  <w:style w:type="paragraph" w:styleId="Heading4">
    <w:name w:val="heading 4"/>
    <w:basedOn w:val="Normal"/>
    <w:next w:val="BodyText"/>
    <w:link w:val="Heading4Char"/>
    <w:uiPriority w:val="3"/>
    <w:qFormat/>
    <w:rsid w:val="005D568A"/>
    <w:pPr>
      <w:keepNext/>
      <w:keepLines/>
      <w:spacing w:before="40" w:after="60" w:line="260" w:lineRule="atLeast"/>
      <w:outlineLvl w:val="3"/>
    </w:pPr>
    <w:rPr>
      <w:rFonts w:ascii="AvenirMaoriBold" w:eastAsia="Times New Roman" w:hAnsi="AvenirMaoriBold"/>
      <w:bCs/>
      <w:iCs/>
      <w:sz w:val="22"/>
    </w:rPr>
  </w:style>
  <w:style w:type="paragraph" w:styleId="Heading5">
    <w:name w:val="heading 5"/>
    <w:basedOn w:val="Normal"/>
    <w:next w:val="BodyText"/>
    <w:link w:val="Heading5Char"/>
    <w:uiPriority w:val="4"/>
    <w:qFormat/>
    <w:rsid w:val="005D568A"/>
    <w:pPr>
      <w:keepNext/>
      <w:keepLines/>
      <w:spacing w:before="40" w:after="60" w:line="270" w:lineRule="atLeast"/>
      <w:outlineLvl w:val="4"/>
    </w:pPr>
    <w:rPr>
      <w:rFonts w:eastAsia="Times New Roman"/>
      <w:b/>
      <w:color w:val="404040" w:themeColor="text1" w:themeTint="BF"/>
    </w:rPr>
  </w:style>
  <w:style w:type="paragraph" w:styleId="Heading6">
    <w:name w:val="heading 6"/>
    <w:aliases w:val="Section head"/>
    <w:basedOn w:val="Normal"/>
    <w:next w:val="Introtext"/>
    <w:link w:val="Heading6Char"/>
    <w:uiPriority w:val="2"/>
    <w:qFormat/>
    <w:rsid w:val="005D568A"/>
    <w:pPr>
      <w:pageBreakBefore/>
      <w:spacing w:after="320" w:line="540" w:lineRule="atLeast"/>
      <w:outlineLvl w:val="5"/>
    </w:pPr>
    <w:rPr>
      <w:rFonts w:ascii="AvenirMaoriBold" w:hAnsi="AvenirMaoriBold"/>
      <w:iCs/>
      <w:color w:val="DC8633"/>
      <w:sz w:val="48"/>
    </w:rPr>
  </w:style>
  <w:style w:type="paragraph" w:styleId="Heading7">
    <w:name w:val="heading 7"/>
    <w:aliases w:val="Appendix"/>
    <w:basedOn w:val="Normal"/>
    <w:next w:val="BodyText"/>
    <w:link w:val="Heading7Char"/>
    <w:uiPriority w:val="1"/>
    <w:qFormat/>
    <w:rsid w:val="005D568A"/>
    <w:pPr>
      <w:keepNext/>
      <w:keepLines/>
      <w:pageBreakBefore/>
      <w:numPr>
        <w:numId w:val="9"/>
      </w:numPr>
      <w:spacing w:after="320" w:line="540" w:lineRule="atLeast"/>
      <w:outlineLvl w:val="6"/>
    </w:pPr>
    <w:rPr>
      <w:rFonts w:ascii="AvenirMaoriBold" w:eastAsia="Times New Roman" w:hAnsi="AvenirMaoriBold"/>
      <w:iCs/>
      <w:color w:val="DC8633"/>
      <w:sz w:val="44"/>
    </w:rPr>
  </w:style>
  <w:style w:type="paragraph" w:styleId="Heading8">
    <w:name w:val="heading 8"/>
    <w:aliases w:val="? Summary"/>
    <w:basedOn w:val="Normal"/>
    <w:next w:val="BodyText"/>
    <w:link w:val="Heading8Char"/>
    <w:uiPriority w:val="1"/>
    <w:rsid w:val="005D568A"/>
    <w:pPr>
      <w:keepNext/>
      <w:keepLines/>
      <w:spacing w:before="40" w:after="80" w:line="300" w:lineRule="atLeast"/>
      <w:outlineLvl w:val="7"/>
    </w:pPr>
    <w:rPr>
      <w:rFonts w:ascii="AvenirMaoriBold" w:eastAsia="Times New Roman" w:hAnsi="AvenirMaoriBold"/>
      <w:color w:val="DC8633"/>
      <w:sz w:val="26"/>
      <w:szCs w:val="20"/>
    </w:rPr>
  </w:style>
  <w:style w:type="paragraph" w:styleId="Heading9">
    <w:name w:val="heading 9"/>
    <w:basedOn w:val="Heading6"/>
    <w:next w:val="BodyText"/>
    <w:link w:val="Heading9Char"/>
    <w:uiPriority w:val="19"/>
    <w:semiHidden/>
    <w:qFormat/>
    <w:rsid w:val="005D568A"/>
    <w:pPr>
      <w:keepLines/>
      <w:outlineLvl w:val="8"/>
    </w:pPr>
    <w:rPr>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 head Char"/>
    <w:basedOn w:val="DefaultParagraphFont"/>
    <w:link w:val="Heading1"/>
    <w:rsid w:val="005D568A"/>
    <w:rPr>
      <w:rFonts w:ascii="AvenirMaoriBold" w:eastAsia="Times New Roman" w:hAnsi="AvenirMaoriBold" w:cs="Times New Roman"/>
      <w:bCs/>
      <w:color w:val="DC8633"/>
      <w:sz w:val="48"/>
      <w:szCs w:val="28"/>
    </w:rPr>
  </w:style>
  <w:style w:type="character" w:customStyle="1" w:styleId="Heading2Char">
    <w:name w:val="Heading 2 Char"/>
    <w:aliases w:val="Chapt sub Char"/>
    <w:basedOn w:val="DefaultParagraphFont"/>
    <w:link w:val="Heading2"/>
    <w:uiPriority w:val="1"/>
    <w:rsid w:val="005D568A"/>
    <w:rPr>
      <w:rFonts w:ascii="AvenirMaoriBold" w:eastAsia="Times New Roman" w:hAnsi="AvenirMaoriBold" w:cs="Times New Roman"/>
      <w:bCs/>
      <w:color w:val="4298B5"/>
      <w:sz w:val="30"/>
      <w:szCs w:val="26"/>
    </w:rPr>
  </w:style>
  <w:style w:type="character" w:customStyle="1" w:styleId="Heading3Char">
    <w:name w:val="Heading 3 Char"/>
    <w:basedOn w:val="DefaultParagraphFont"/>
    <w:link w:val="Heading3"/>
    <w:uiPriority w:val="3"/>
    <w:rsid w:val="005D568A"/>
    <w:rPr>
      <w:rFonts w:ascii="AvenirMaoriBold" w:eastAsia="Times New Roman" w:hAnsi="AvenirMaoriBold" w:cs="Times New Roman"/>
      <w:bCs/>
      <w:sz w:val="26"/>
    </w:rPr>
  </w:style>
  <w:style w:type="character" w:customStyle="1" w:styleId="Heading4Char">
    <w:name w:val="Heading 4 Char"/>
    <w:basedOn w:val="DefaultParagraphFont"/>
    <w:link w:val="Heading4"/>
    <w:uiPriority w:val="3"/>
    <w:rsid w:val="005D568A"/>
    <w:rPr>
      <w:rFonts w:ascii="AvenirMaoriBold" w:eastAsia="Times New Roman" w:hAnsi="AvenirMaoriBold" w:cs="Times New Roman"/>
      <w:bCs/>
      <w:iCs/>
    </w:rPr>
  </w:style>
  <w:style w:type="character" w:customStyle="1" w:styleId="Heading5Char">
    <w:name w:val="Heading 5 Char"/>
    <w:basedOn w:val="DefaultParagraphFont"/>
    <w:link w:val="Heading5"/>
    <w:uiPriority w:val="4"/>
    <w:rsid w:val="005D568A"/>
    <w:rPr>
      <w:rFonts w:ascii="AvenirMaoriLight" w:eastAsia="Times New Roman" w:hAnsi="AvenirMaoriLight" w:cs="Times New Roman"/>
      <w:b/>
      <w:color w:val="404040" w:themeColor="text1" w:themeTint="BF"/>
      <w:sz w:val="20"/>
    </w:rPr>
  </w:style>
  <w:style w:type="character" w:customStyle="1" w:styleId="Heading6Char">
    <w:name w:val="Heading 6 Char"/>
    <w:aliases w:val="Section head Char"/>
    <w:basedOn w:val="DefaultParagraphFont"/>
    <w:link w:val="Heading6"/>
    <w:uiPriority w:val="2"/>
    <w:rsid w:val="005D568A"/>
    <w:rPr>
      <w:rFonts w:ascii="AvenirMaoriBold" w:eastAsia="Calibri" w:hAnsi="AvenirMaoriBold" w:cs="Times New Roman"/>
      <w:iCs/>
      <w:color w:val="DC8633"/>
      <w:sz w:val="48"/>
    </w:rPr>
  </w:style>
  <w:style w:type="character" w:customStyle="1" w:styleId="Heading7Char">
    <w:name w:val="Heading 7 Char"/>
    <w:aliases w:val="Appendix Char"/>
    <w:basedOn w:val="DefaultParagraphFont"/>
    <w:link w:val="Heading7"/>
    <w:uiPriority w:val="1"/>
    <w:rsid w:val="005D568A"/>
    <w:rPr>
      <w:rFonts w:ascii="AvenirMaoriBold" w:eastAsia="Times New Roman" w:hAnsi="AvenirMaoriBold" w:cs="Times New Roman"/>
      <w:iCs/>
      <w:color w:val="DC8633"/>
      <w:sz w:val="44"/>
    </w:rPr>
  </w:style>
  <w:style w:type="character" w:customStyle="1" w:styleId="Heading8Char">
    <w:name w:val="Heading 8 Char"/>
    <w:aliases w:val="? Summary Char"/>
    <w:basedOn w:val="DefaultParagraphFont"/>
    <w:link w:val="Heading8"/>
    <w:uiPriority w:val="1"/>
    <w:rsid w:val="005D568A"/>
    <w:rPr>
      <w:rFonts w:ascii="AvenirMaoriBold" w:eastAsia="Times New Roman" w:hAnsi="AvenirMaoriBold" w:cs="Times New Roman"/>
      <w:color w:val="DC8633"/>
      <w:sz w:val="26"/>
      <w:szCs w:val="20"/>
    </w:rPr>
  </w:style>
  <w:style w:type="character" w:customStyle="1" w:styleId="Heading9Char">
    <w:name w:val="Heading 9 Char"/>
    <w:basedOn w:val="DefaultParagraphFont"/>
    <w:link w:val="Heading9"/>
    <w:uiPriority w:val="19"/>
    <w:semiHidden/>
    <w:rsid w:val="005D568A"/>
    <w:rPr>
      <w:rFonts w:ascii="AvenirMaoriBold" w:eastAsia="Calibri" w:hAnsi="AvenirMaoriBold" w:cs="Times New Roman"/>
      <w:color w:val="DC8633"/>
      <w:sz w:val="48"/>
      <w:szCs w:val="20"/>
    </w:rPr>
  </w:style>
  <w:style w:type="paragraph" w:styleId="BodyText">
    <w:name w:val="Body Text"/>
    <w:aliases w:val="Body"/>
    <w:basedOn w:val="Normal"/>
    <w:link w:val="BodyTextChar"/>
    <w:uiPriority w:val="8"/>
    <w:qFormat/>
    <w:rsid w:val="005D568A"/>
    <w:pPr>
      <w:spacing w:after="190" w:line="270" w:lineRule="atLeast"/>
    </w:pPr>
  </w:style>
  <w:style w:type="character" w:customStyle="1" w:styleId="BodyTextChar">
    <w:name w:val="Body Text Char"/>
    <w:aliases w:val="Body Char"/>
    <w:basedOn w:val="DefaultParagraphFont"/>
    <w:link w:val="BodyText"/>
    <w:uiPriority w:val="8"/>
    <w:rsid w:val="005D568A"/>
    <w:rPr>
      <w:rFonts w:ascii="AvenirMaoriLight" w:eastAsia="Calibri" w:hAnsi="AvenirMaoriLight" w:cs="Times New Roman"/>
      <w:sz w:val="20"/>
    </w:rPr>
  </w:style>
  <w:style w:type="paragraph" w:styleId="ListParagraph">
    <w:name w:val="List Paragraph"/>
    <w:basedOn w:val="Normal"/>
    <w:uiPriority w:val="34"/>
    <w:qFormat/>
    <w:rsid w:val="005D568A"/>
    <w:pPr>
      <w:ind w:left="720"/>
      <w:contextualSpacing/>
    </w:pPr>
  </w:style>
  <w:style w:type="paragraph" w:customStyle="1" w:styleId="Numberedlist">
    <w:name w:val="Numbered list"/>
    <w:basedOn w:val="BodyText"/>
    <w:uiPriority w:val="9"/>
    <w:qFormat/>
    <w:rsid w:val="005D568A"/>
    <w:pPr>
      <w:numPr>
        <w:numId w:val="2"/>
      </w:numPr>
    </w:pPr>
  </w:style>
  <w:style w:type="paragraph" w:styleId="BalloonText">
    <w:name w:val="Balloon Text"/>
    <w:basedOn w:val="Normal"/>
    <w:link w:val="BalloonTextChar"/>
    <w:uiPriority w:val="29"/>
    <w:semiHidden/>
    <w:rsid w:val="005D568A"/>
    <w:rPr>
      <w:rFonts w:ascii="Tahoma" w:hAnsi="Tahoma" w:cs="Tahoma"/>
      <w:sz w:val="16"/>
      <w:szCs w:val="16"/>
    </w:rPr>
  </w:style>
  <w:style w:type="character" w:customStyle="1" w:styleId="BalloonTextChar">
    <w:name w:val="Balloon Text Char"/>
    <w:basedOn w:val="DefaultParagraphFont"/>
    <w:link w:val="BalloonText"/>
    <w:uiPriority w:val="29"/>
    <w:semiHidden/>
    <w:rsid w:val="005D568A"/>
    <w:rPr>
      <w:rFonts w:ascii="Tahoma" w:eastAsia="Calibri" w:hAnsi="Tahoma" w:cs="Tahoma"/>
      <w:sz w:val="16"/>
      <w:szCs w:val="16"/>
    </w:rPr>
  </w:style>
  <w:style w:type="paragraph" w:styleId="FootnoteText">
    <w:name w:val="footnote text"/>
    <w:basedOn w:val="Normal"/>
    <w:link w:val="FootnoteTextChar"/>
    <w:uiPriority w:val="18"/>
    <w:rsid w:val="005D568A"/>
    <w:pPr>
      <w:spacing w:after="60" w:line="180" w:lineRule="atLeast"/>
    </w:pPr>
    <w:rPr>
      <w:color w:val="262626" w:themeColor="text1" w:themeTint="D9"/>
      <w:sz w:val="14"/>
      <w:szCs w:val="20"/>
    </w:rPr>
  </w:style>
  <w:style w:type="character" w:customStyle="1" w:styleId="FootnoteTextChar">
    <w:name w:val="Footnote Text Char"/>
    <w:basedOn w:val="DefaultParagraphFont"/>
    <w:link w:val="FootnoteText"/>
    <w:uiPriority w:val="18"/>
    <w:rsid w:val="005D568A"/>
    <w:rPr>
      <w:rFonts w:ascii="AvenirMaoriLight" w:eastAsia="Calibri" w:hAnsi="AvenirMaoriLight" w:cs="Times New Roman"/>
      <w:color w:val="262626" w:themeColor="text1" w:themeTint="D9"/>
      <w:sz w:val="14"/>
      <w:szCs w:val="20"/>
    </w:rPr>
  </w:style>
  <w:style w:type="character" w:styleId="FootnoteReference">
    <w:name w:val="footnote reference"/>
    <w:uiPriority w:val="18"/>
    <w:rsid w:val="005D568A"/>
    <w:rPr>
      <w:vertAlign w:val="superscript"/>
    </w:rPr>
  </w:style>
  <w:style w:type="character" w:styleId="PlaceholderText">
    <w:name w:val="Placeholder Text"/>
    <w:basedOn w:val="DefaultParagraphFont"/>
    <w:uiPriority w:val="99"/>
    <w:semiHidden/>
    <w:rsid w:val="005D568A"/>
    <w:rPr>
      <w:color w:val="808080"/>
    </w:rPr>
  </w:style>
  <w:style w:type="paragraph" w:styleId="Caption">
    <w:name w:val="caption"/>
    <w:basedOn w:val="Normal"/>
    <w:next w:val="BodyText"/>
    <w:uiPriority w:val="18"/>
    <w:rsid w:val="005D568A"/>
    <w:pPr>
      <w:keepNext/>
      <w:tabs>
        <w:tab w:val="left" w:pos="1276"/>
      </w:tabs>
      <w:spacing w:before="120" w:after="120" w:line="260" w:lineRule="atLeast"/>
    </w:pPr>
    <w:rPr>
      <w:rFonts w:eastAsia="Times New Roman"/>
      <w:b/>
      <w:bCs/>
      <w:szCs w:val="20"/>
      <w:lang w:eastAsia="en-GB"/>
    </w:rPr>
  </w:style>
  <w:style w:type="table" w:styleId="TableGrid">
    <w:name w:val="Table Grid"/>
    <w:basedOn w:val="TableNormal"/>
    <w:rsid w:val="005D568A"/>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list">
    <w:name w:val="Alpha list"/>
    <w:basedOn w:val="BodyText"/>
    <w:uiPriority w:val="10"/>
    <w:qFormat/>
    <w:rsid w:val="005D568A"/>
    <w:pPr>
      <w:numPr>
        <w:numId w:val="8"/>
      </w:numPr>
    </w:pPr>
  </w:style>
  <w:style w:type="paragraph" w:styleId="Bibliography">
    <w:name w:val="Bibliography"/>
    <w:basedOn w:val="Normal"/>
    <w:next w:val="Normal"/>
    <w:uiPriority w:val="37"/>
    <w:semiHidden/>
    <w:rsid w:val="005D568A"/>
    <w:pPr>
      <w:spacing w:after="200" w:line="250" w:lineRule="atLeast"/>
    </w:pPr>
  </w:style>
  <w:style w:type="paragraph" w:customStyle="1" w:styleId="Keypointsheading">
    <w:name w:val="Key points heading"/>
    <w:basedOn w:val="BodyText"/>
    <w:next w:val="Normal"/>
    <w:uiPriority w:val="18"/>
    <w:rsid w:val="005D568A"/>
    <w:pPr>
      <w:keepNext/>
      <w:spacing w:before="40" w:after="140" w:line="260" w:lineRule="atLeast"/>
    </w:pPr>
    <w:rPr>
      <w:rFonts w:ascii="AvenirMaoriBold" w:hAnsi="AvenirMaoriBold"/>
      <w:sz w:val="22"/>
    </w:rPr>
  </w:style>
  <w:style w:type="paragraph" w:customStyle="1" w:styleId="Boxheading">
    <w:name w:val="Box heading"/>
    <w:basedOn w:val="Keypointsheading"/>
    <w:next w:val="BodyText"/>
    <w:uiPriority w:val="18"/>
    <w:qFormat/>
    <w:rsid w:val="005D568A"/>
    <w:pPr>
      <w:tabs>
        <w:tab w:val="left" w:pos="1134"/>
      </w:tabs>
      <w:spacing w:before="0" w:after="120" w:line="240" w:lineRule="atLeast"/>
    </w:pPr>
    <w:rPr>
      <w:rFonts w:ascii="AvenirMaoriLight" w:hAnsi="AvenirMaoriLight"/>
      <w:sz w:val="20"/>
    </w:rPr>
  </w:style>
  <w:style w:type="paragraph" w:customStyle="1" w:styleId="Boxtable">
    <w:name w:val="Box table"/>
    <w:basedOn w:val="BodyText"/>
    <w:uiPriority w:val="19"/>
    <w:semiHidden/>
    <w:rsid w:val="005D568A"/>
    <w:pPr>
      <w:spacing w:after="120" w:line="240" w:lineRule="atLeast"/>
    </w:pPr>
    <w:rPr>
      <w:sz w:val="19"/>
    </w:rPr>
  </w:style>
  <w:style w:type="paragraph" w:customStyle="1" w:styleId="Bullet1Blue">
    <w:name w:val="Bullet 1 Blue"/>
    <w:basedOn w:val="BodyText"/>
    <w:uiPriority w:val="14"/>
    <w:qFormat/>
    <w:rsid w:val="005D568A"/>
    <w:pPr>
      <w:numPr>
        <w:numId w:val="6"/>
      </w:numPr>
    </w:pPr>
  </w:style>
  <w:style w:type="paragraph" w:customStyle="1" w:styleId="Bullet1Orange">
    <w:name w:val="Bullet 1 Orange"/>
    <w:basedOn w:val="BodyText"/>
    <w:uiPriority w:val="13"/>
    <w:qFormat/>
    <w:rsid w:val="005D568A"/>
    <w:pPr>
      <w:numPr>
        <w:numId w:val="11"/>
      </w:numPr>
    </w:pPr>
  </w:style>
  <w:style w:type="paragraph" w:customStyle="1" w:styleId="Bullet2Orange">
    <w:name w:val="Bullet 2 Orange"/>
    <w:basedOn w:val="Bullet1Orange"/>
    <w:uiPriority w:val="13"/>
    <w:qFormat/>
    <w:rsid w:val="005D568A"/>
    <w:pPr>
      <w:numPr>
        <w:ilvl w:val="1"/>
      </w:numPr>
    </w:pPr>
  </w:style>
  <w:style w:type="paragraph" w:styleId="EndnoteText">
    <w:name w:val="endnote text"/>
    <w:basedOn w:val="Normal"/>
    <w:link w:val="EndnoteTextChar"/>
    <w:uiPriority w:val="24"/>
    <w:semiHidden/>
    <w:rsid w:val="005D568A"/>
    <w:rPr>
      <w:szCs w:val="20"/>
    </w:rPr>
  </w:style>
  <w:style w:type="character" w:customStyle="1" w:styleId="EndnoteTextChar">
    <w:name w:val="Endnote Text Char"/>
    <w:basedOn w:val="DefaultParagraphFont"/>
    <w:link w:val="EndnoteText"/>
    <w:uiPriority w:val="24"/>
    <w:semiHidden/>
    <w:rsid w:val="005D568A"/>
    <w:rPr>
      <w:rFonts w:ascii="AvenirMaoriLight" w:eastAsia="Calibri" w:hAnsi="AvenirMaoriLight" w:cs="Times New Roman"/>
      <w:sz w:val="20"/>
      <w:szCs w:val="20"/>
    </w:rPr>
  </w:style>
  <w:style w:type="paragraph" w:customStyle="1" w:styleId="zInstructions">
    <w:name w:val="z_Instructions"/>
    <w:basedOn w:val="Normal"/>
    <w:uiPriority w:val="99"/>
    <w:semiHidden/>
    <w:rsid w:val="005D568A"/>
    <w:pPr>
      <w:spacing w:after="180" w:line="288" w:lineRule="atLeast"/>
    </w:pPr>
    <w:rPr>
      <w:color w:val="FF0000"/>
    </w:rPr>
  </w:style>
  <w:style w:type="paragraph" w:styleId="EnvelopeAddress">
    <w:name w:val="envelope address"/>
    <w:basedOn w:val="Normal"/>
    <w:uiPriority w:val="24"/>
    <w:semiHidden/>
    <w:rsid w:val="005D568A"/>
    <w:pPr>
      <w:framePr w:w="7920" w:h="1980" w:hRule="exact" w:hSpace="180" w:wrap="auto" w:hAnchor="page" w:xAlign="center" w:yAlign="bottom"/>
      <w:ind w:left="2880"/>
    </w:pPr>
    <w:rPr>
      <w:rFonts w:eastAsia="Times New Roman"/>
      <w:szCs w:val="24"/>
    </w:rPr>
  </w:style>
  <w:style w:type="paragraph" w:styleId="EnvelopeReturn">
    <w:name w:val="envelope return"/>
    <w:basedOn w:val="Normal"/>
    <w:uiPriority w:val="24"/>
    <w:semiHidden/>
    <w:rsid w:val="005D568A"/>
    <w:rPr>
      <w:rFonts w:eastAsia="Times New Roman"/>
      <w:szCs w:val="20"/>
    </w:rPr>
  </w:style>
  <w:style w:type="paragraph" w:styleId="Footer">
    <w:name w:val="footer"/>
    <w:basedOn w:val="Normal"/>
    <w:link w:val="FooterChar"/>
    <w:uiPriority w:val="19"/>
    <w:semiHidden/>
    <w:rsid w:val="005D568A"/>
    <w:pPr>
      <w:tabs>
        <w:tab w:val="center" w:pos="4479"/>
        <w:tab w:val="right" w:pos="8959"/>
      </w:tabs>
    </w:pPr>
  </w:style>
  <w:style w:type="character" w:customStyle="1" w:styleId="FooterChar">
    <w:name w:val="Footer Char"/>
    <w:basedOn w:val="DefaultParagraphFont"/>
    <w:link w:val="Footer"/>
    <w:uiPriority w:val="19"/>
    <w:semiHidden/>
    <w:rsid w:val="005D568A"/>
    <w:rPr>
      <w:rFonts w:ascii="AvenirMaoriLight" w:eastAsia="Calibri" w:hAnsi="AvenirMaoriLight" w:cs="Times New Roman"/>
      <w:sz w:val="20"/>
    </w:rPr>
  </w:style>
  <w:style w:type="paragraph" w:styleId="Header">
    <w:name w:val="header"/>
    <w:basedOn w:val="Normal"/>
    <w:link w:val="HeaderChar"/>
    <w:uiPriority w:val="19"/>
    <w:semiHidden/>
    <w:rsid w:val="005D568A"/>
    <w:pPr>
      <w:tabs>
        <w:tab w:val="center" w:pos="4536"/>
        <w:tab w:val="right" w:pos="9072"/>
      </w:tabs>
    </w:pPr>
    <w:rPr>
      <w:sz w:val="18"/>
    </w:rPr>
  </w:style>
  <w:style w:type="character" w:customStyle="1" w:styleId="HeaderChar">
    <w:name w:val="Header Char"/>
    <w:basedOn w:val="DefaultParagraphFont"/>
    <w:link w:val="Header"/>
    <w:uiPriority w:val="19"/>
    <w:semiHidden/>
    <w:rsid w:val="005D568A"/>
    <w:rPr>
      <w:rFonts w:ascii="AvenirMaoriLight" w:eastAsia="Calibri" w:hAnsi="AvenirMaoriLight" w:cs="Times New Roman"/>
      <w:sz w:val="18"/>
    </w:rPr>
  </w:style>
  <w:style w:type="character" w:styleId="Hyperlink">
    <w:name w:val="Hyperlink"/>
    <w:basedOn w:val="DefaultParagraphFont"/>
    <w:uiPriority w:val="99"/>
    <w:semiHidden/>
    <w:rsid w:val="005D568A"/>
    <w:rPr>
      <w:color w:val="0000FF" w:themeColor="hyperlink"/>
      <w:u w:val="single"/>
    </w:rPr>
  </w:style>
  <w:style w:type="paragraph" w:customStyle="1" w:styleId="Introtext">
    <w:name w:val="Intro text"/>
    <w:basedOn w:val="BodyText"/>
    <w:next w:val="BodyText"/>
    <w:uiPriority w:val="7"/>
    <w:qFormat/>
    <w:rsid w:val="005D568A"/>
    <w:pPr>
      <w:spacing w:line="300" w:lineRule="atLeast"/>
    </w:pPr>
    <w:rPr>
      <w:sz w:val="24"/>
    </w:rPr>
  </w:style>
  <w:style w:type="character" w:styleId="PageNumber">
    <w:name w:val="page number"/>
    <w:uiPriority w:val="19"/>
    <w:semiHidden/>
    <w:rsid w:val="005D568A"/>
    <w:rPr>
      <w:rFonts w:ascii="AvenirMaoriLight" w:hAnsi="AvenirMaoriLight"/>
      <w:sz w:val="18"/>
    </w:rPr>
  </w:style>
  <w:style w:type="numbering" w:customStyle="1" w:styleId="PCAlphalist">
    <w:name w:val="PC Alpha list"/>
    <w:uiPriority w:val="99"/>
    <w:rsid w:val="005D568A"/>
    <w:pPr>
      <w:numPr>
        <w:numId w:val="8"/>
      </w:numPr>
    </w:pPr>
  </w:style>
  <w:style w:type="numbering" w:customStyle="1" w:styleId="PCAppendix">
    <w:name w:val="PC Appendix"/>
    <w:basedOn w:val="NoList"/>
    <w:uiPriority w:val="99"/>
    <w:rsid w:val="005D568A"/>
    <w:pPr>
      <w:numPr>
        <w:numId w:val="9"/>
      </w:numPr>
    </w:pPr>
  </w:style>
  <w:style w:type="numbering" w:customStyle="1" w:styleId="PCBoxList">
    <w:name w:val="PC Box List"/>
    <w:uiPriority w:val="99"/>
    <w:rsid w:val="005D568A"/>
    <w:pPr>
      <w:numPr>
        <w:numId w:val="10"/>
      </w:numPr>
    </w:pPr>
  </w:style>
  <w:style w:type="numbering" w:customStyle="1" w:styleId="PCBulletBlue">
    <w:name w:val="PC Bullet Blue"/>
    <w:uiPriority w:val="99"/>
    <w:rsid w:val="005D568A"/>
    <w:pPr>
      <w:numPr>
        <w:numId w:val="6"/>
      </w:numPr>
    </w:pPr>
  </w:style>
  <w:style w:type="numbering" w:customStyle="1" w:styleId="PCBullets">
    <w:name w:val="PC Bullets"/>
    <w:uiPriority w:val="99"/>
    <w:rsid w:val="005D568A"/>
    <w:pPr>
      <w:numPr>
        <w:numId w:val="11"/>
      </w:numPr>
    </w:pPr>
  </w:style>
  <w:style w:type="numbering" w:customStyle="1" w:styleId="PCHeadingslist">
    <w:name w:val="PC Headings list"/>
    <w:basedOn w:val="NoList"/>
    <w:uiPriority w:val="99"/>
    <w:rsid w:val="005D568A"/>
    <w:pPr>
      <w:numPr>
        <w:numId w:val="12"/>
      </w:numPr>
    </w:pPr>
  </w:style>
  <w:style w:type="numbering" w:customStyle="1" w:styleId="PCNumberedlist">
    <w:name w:val="PC Numbered list"/>
    <w:uiPriority w:val="99"/>
    <w:rsid w:val="005D568A"/>
    <w:pPr>
      <w:numPr>
        <w:numId w:val="13"/>
      </w:numPr>
    </w:pPr>
  </w:style>
  <w:style w:type="table" w:customStyle="1" w:styleId="PCTable">
    <w:name w:val="PC Table"/>
    <w:basedOn w:val="TableNormal"/>
    <w:uiPriority w:val="99"/>
    <w:rsid w:val="005D568A"/>
    <w:pPr>
      <w:spacing w:after="0" w:line="240" w:lineRule="auto"/>
    </w:pPr>
    <w:rPr>
      <w:rFonts w:ascii="Avenir LT Std 35 Light" w:eastAsia="Times New Roman" w:hAnsi="Avenir LT Std 35 Light" w:cs="Times New Roman"/>
      <w:sz w:val="20"/>
      <w:szCs w:val="20"/>
      <w:lang w:eastAsia="en-NZ"/>
    </w:rPr>
    <w:tblPr>
      <w:tblInd w:w="0" w:type="dxa"/>
      <w:tblBorders>
        <w:insideH w:val="single" w:sz="2"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rFonts w:ascii="Avenir LT Std 55 Roman" w:hAnsi="Avenir LT Std 55 Roman"/>
        <w:bCs/>
        <w:color w:val="FFFFFF" w:themeColor="background1"/>
      </w:rPr>
      <w:tblPr/>
      <w:tcPr>
        <w:shd w:val="clear" w:color="auto" w:fill="595959" w:themeFill="text1" w:themeFillTint="A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rPr>
        <w:rFonts w:ascii="Avenir LT Std 35 Light" w:hAnsi="Avenir LT Std 35 Light"/>
      </w:rPr>
      <w:tblPr/>
      <w:tcPr>
        <w:tcBorders>
          <w:top w:val="nil"/>
          <w:left w:val="nil"/>
          <w:bottom w:val="nil"/>
          <w:right w:val="nil"/>
          <w:insideH w:val="single" w:sz="2" w:space="0" w:color="auto"/>
          <w:insideV w:val="nil"/>
          <w:tl2br w:val="nil"/>
          <w:tr2bl w:val="nil"/>
        </w:tcBorders>
        <w:shd w:val="clear" w:color="auto" w:fill="FAFCFD"/>
      </w:tcPr>
    </w:tblStylePr>
    <w:tblStylePr w:type="band2Horz">
      <w:rPr>
        <w:rFonts w:ascii="Avenir LT Std 35 Light" w:hAnsi="Avenir LT Std 35 Light"/>
      </w:rPr>
      <w:tblPr/>
      <w:tcPr>
        <w:tcBorders>
          <w:top w:val="single" w:sz="2" w:space="0" w:color="auto"/>
          <w:left w:val="nil"/>
          <w:bottom w:val="single" w:sz="2" w:space="0" w:color="auto"/>
          <w:right w:val="nil"/>
          <w:insideH w:val="single" w:sz="2" w:space="0" w:color="auto"/>
          <w:insideV w:val="nil"/>
        </w:tcBorders>
        <w:shd w:val="clear" w:color="auto" w:fill="F1F7FA"/>
      </w:tcPr>
    </w:tblStylePr>
  </w:style>
  <w:style w:type="table" w:customStyle="1" w:styleId="ProdCommTable">
    <w:name w:val="Prod Comm Table"/>
    <w:basedOn w:val="TableNormal"/>
    <w:uiPriority w:val="99"/>
    <w:rsid w:val="005D568A"/>
    <w:pPr>
      <w:spacing w:after="0" w:line="240" w:lineRule="auto"/>
    </w:pPr>
    <w:rPr>
      <w:rFonts w:ascii="Avenir LT Std 35 Light" w:eastAsia="Times New Roman" w:hAnsi="Avenir LT Std 35 Light" w:cs="Times New Roman"/>
      <w:sz w:val="20"/>
      <w:szCs w:val="20"/>
      <w:lang w:eastAsia="en-NZ"/>
    </w:rPr>
    <w:tblPr>
      <w:tblStyleRowBandSize w:val="1"/>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Avenir LT Std 55 Roman" w:hAnsi="Avenir LT Std 55 Roman"/>
        <w:b w:val="0"/>
        <w:bCs/>
        <w:color w:val="FFFFFF" w:themeColor="background1"/>
      </w:rPr>
      <w:tblPr/>
      <w:tcPr>
        <w:tcBorders>
          <w:bottom w:val="single" w:sz="12" w:space="0" w:color="000000"/>
          <w:tl2br w:val="none" w:sz="0" w:space="0" w:color="auto"/>
          <w:tr2bl w:val="none" w:sz="0" w:space="0" w:color="auto"/>
        </w:tcBorders>
        <w:shd w:val="clear" w:color="auto" w:fill="595959" w:themeFill="text1" w:themeFillTint="A6"/>
      </w:tcPr>
    </w:tblStylePr>
    <w:tblStylePr w:type="lastRow">
      <w:rPr>
        <w:rFonts w:ascii="Avenir LT Std 35 Light" w:hAnsi="Avenir LT Std 35 Light"/>
        <w:i w:val="0"/>
        <w:sz w:val="18"/>
      </w:rPr>
      <w:tblPr/>
      <w:tcPr>
        <w:tcBorders>
          <w:top w:val="single" w:sz="12" w:space="0" w:color="000000"/>
          <w:tl2br w:val="none" w:sz="0" w:space="0" w:color="auto"/>
          <w:tr2bl w:val="none" w:sz="0" w:space="0" w:color="auto"/>
        </w:tcBorders>
      </w:tcPr>
    </w:tblStylePr>
    <w:tblStylePr w:type="band1Horz">
      <w:rPr>
        <w:rFonts w:ascii="Avenir LT Std 35 Light" w:hAnsi="Avenir LT Std 35 Light"/>
        <w:sz w:val="18"/>
      </w:rPr>
      <w:tblPr/>
      <w:tcPr>
        <w:shd w:val="clear" w:color="auto" w:fill="FAFCFD"/>
      </w:tcPr>
    </w:tblStylePr>
    <w:tblStylePr w:type="band2Horz">
      <w:tblPr/>
      <w:tcPr>
        <w:shd w:val="clear" w:color="auto" w:fill="F1F7FA"/>
      </w:tcPr>
    </w:tblStylePr>
    <w:tblStylePr w:type="swCell">
      <w:rPr>
        <w:i/>
        <w:iCs/>
        <w:color w:val="000080"/>
      </w:rPr>
      <w:tblPr/>
      <w:tcPr>
        <w:tcBorders>
          <w:tl2br w:val="none" w:sz="0" w:space="0" w:color="auto"/>
          <w:tr2bl w:val="none" w:sz="0" w:space="0" w:color="auto"/>
        </w:tcBorders>
      </w:tcPr>
    </w:tblStylePr>
  </w:style>
  <w:style w:type="paragraph" w:customStyle="1" w:styleId="Question">
    <w:name w:val="Question"/>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Questionsummary">
    <w:name w:val="Question summary"/>
    <w:basedOn w:val="BodyText"/>
    <w:uiPriority w:val="19"/>
    <w:semiHidden/>
    <w:rsid w:val="005D568A"/>
    <w:pPr>
      <w:spacing w:before="120" w:after="60" w:line="250" w:lineRule="atLeast"/>
    </w:pPr>
  </w:style>
  <w:style w:type="paragraph" w:customStyle="1" w:styleId="Quotetext">
    <w:name w:val="Quote text"/>
    <w:basedOn w:val="Normal"/>
    <w:uiPriority w:val="10"/>
    <w:semiHidden/>
    <w:rsid w:val="005D568A"/>
    <w:pPr>
      <w:spacing w:before="100" w:after="120" w:line="240" w:lineRule="atLeast"/>
      <w:ind w:left="425" w:right="425"/>
    </w:pPr>
    <w:rPr>
      <w:color w:val="262626" w:themeColor="text1" w:themeTint="D9"/>
      <w:sz w:val="19"/>
    </w:rPr>
  </w:style>
  <w:style w:type="paragraph" w:customStyle="1" w:styleId="Quotereference">
    <w:name w:val="Quote reference"/>
    <w:basedOn w:val="Quotetext"/>
    <w:uiPriority w:val="11"/>
    <w:semiHidden/>
    <w:rsid w:val="005D568A"/>
    <w:pPr>
      <w:spacing w:line="230" w:lineRule="atLeast"/>
      <w:jc w:val="right"/>
    </w:pPr>
    <w:rPr>
      <w:noProof/>
      <w:color w:val="404040" w:themeColor="text1" w:themeTint="BF"/>
      <w:sz w:val="17"/>
    </w:rPr>
  </w:style>
  <w:style w:type="paragraph" w:customStyle="1" w:styleId="TableBody">
    <w:name w:val="Table Body"/>
    <w:basedOn w:val="BodyText"/>
    <w:uiPriority w:val="15"/>
    <w:rsid w:val="005D568A"/>
    <w:pPr>
      <w:spacing w:after="120" w:line="250" w:lineRule="atLeast"/>
    </w:pPr>
    <w:rPr>
      <w:color w:val="595959" w:themeColor="text1" w:themeTint="A6"/>
      <w:sz w:val="18"/>
    </w:rPr>
  </w:style>
  <w:style w:type="paragraph" w:customStyle="1" w:styleId="Tablerowheader">
    <w:name w:val="Table row header"/>
    <w:basedOn w:val="BodyText"/>
    <w:uiPriority w:val="14"/>
    <w:rsid w:val="005D568A"/>
    <w:pPr>
      <w:keepNext/>
      <w:spacing w:before="120" w:after="120" w:line="250" w:lineRule="atLeast"/>
    </w:pPr>
    <w:rPr>
      <w:rFonts w:ascii="AvenirMaoriBold" w:hAnsi="AvenirMaoriBold"/>
      <w:color w:val="F2F2F2" w:themeColor="background1" w:themeShade="F2"/>
    </w:rPr>
  </w:style>
  <w:style w:type="paragraph" w:customStyle="1" w:styleId="Tablesource">
    <w:name w:val="Table source"/>
    <w:basedOn w:val="BodyText"/>
    <w:next w:val="Normal"/>
    <w:uiPriority w:val="15"/>
    <w:rsid w:val="005D568A"/>
    <w:pPr>
      <w:tabs>
        <w:tab w:val="left" w:pos="709"/>
      </w:tabs>
      <w:spacing w:before="60" w:after="120" w:line="180" w:lineRule="atLeast"/>
      <w:ind w:left="709" w:hanging="709"/>
    </w:pPr>
    <w:rPr>
      <w:sz w:val="16"/>
    </w:rPr>
  </w:style>
  <w:style w:type="paragraph" w:customStyle="1" w:styleId="Termbodytext">
    <w:name w:val="Term body text"/>
    <w:basedOn w:val="BodyText"/>
    <w:uiPriority w:val="19"/>
    <w:semiHidden/>
    <w:rsid w:val="005D568A"/>
    <w:pPr>
      <w:spacing w:after="120" w:line="240" w:lineRule="atLeast"/>
    </w:pPr>
    <w:rPr>
      <w:sz w:val="18"/>
    </w:rPr>
  </w:style>
  <w:style w:type="paragraph" w:customStyle="1" w:styleId="Termheading">
    <w:name w:val="Term heading"/>
    <w:basedOn w:val="Termbodytext"/>
    <w:uiPriority w:val="19"/>
    <w:semiHidden/>
    <w:rsid w:val="005D568A"/>
    <w:rPr>
      <w:rFonts w:ascii="AvenirMaoriBold" w:hAnsi="AvenirMaoriBold"/>
    </w:rPr>
  </w:style>
  <w:style w:type="paragraph" w:customStyle="1" w:styleId="Title1">
    <w:name w:val="Title 1"/>
    <w:basedOn w:val="Normal"/>
    <w:next w:val="BodyText"/>
    <w:uiPriority w:val="19"/>
    <w:semiHidden/>
    <w:rsid w:val="005D568A"/>
    <w:pPr>
      <w:spacing w:before="4876" w:after="300" w:line="900" w:lineRule="atLeast"/>
    </w:pPr>
    <w:rPr>
      <w:rFonts w:ascii="AvenirMaoriBold" w:hAnsi="AvenirMaoriBold"/>
      <w:color w:val="7F7F7F" w:themeColor="text1" w:themeTint="80"/>
      <w:sz w:val="90"/>
    </w:rPr>
  </w:style>
  <w:style w:type="paragraph" w:customStyle="1" w:styleId="Title2">
    <w:name w:val="Title 2"/>
    <w:basedOn w:val="Title1"/>
    <w:uiPriority w:val="19"/>
    <w:semiHidden/>
    <w:rsid w:val="005D568A"/>
    <w:pPr>
      <w:spacing w:before="0" w:after="0" w:line="480" w:lineRule="atLeast"/>
    </w:pPr>
    <w:rPr>
      <w:sz w:val="40"/>
    </w:rPr>
  </w:style>
  <w:style w:type="paragraph" w:styleId="TOC1">
    <w:name w:val="toc 1"/>
    <w:basedOn w:val="Normal"/>
    <w:next w:val="Normal"/>
    <w:autoRedefine/>
    <w:uiPriority w:val="39"/>
    <w:rsid w:val="005D568A"/>
    <w:pPr>
      <w:tabs>
        <w:tab w:val="right" w:leader="dot" w:pos="9639"/>
      </w:tabs>
      <w:spacing w:before="120" w:line="270" w:lineRule="atLeast"/>
      <w:ind w:left="567" w:hanging="567"/>
    </w:pPr>
    <w:rPr>
      <w:rFonts w:ascii="AvenirMaoriBold" w:hAnsi="AvenirMaoriBold"/>
    </w:rPr>
  </w:style>
  <w:style w:type="paragraph" w:styleId="TOC2">
    <w:name w:val="toc 2"/>
    <w:basedOn w:val="Normal"/>
    <w:next w:val="Normal"/>
    <w:autoRedefine/>
    <w:uiPriority w:val="39"/>
    <w:rsid w:val="005D568A"/>
    <w:pPr>
      <w:tabs>
        <w:tab w:val="right" w:leader="dot" w:pos="9639"/>
      </w:tabs>
      <w:spacing w:line="270" w:lineRule="atLeast"/>
      <w:ind w:left="1134" w:right="567" w:hanging="567"/>
    </w:pPr>
  </w:style>
  <w:style w:type="paragraph" w:styleId="TOC3">
    <w:name w:val="toc 3"/>
    <w:basedOn w:val="Normal"/>
    <w:next w:val="Normal"/>
    <w:autoRedefine/>
    <w:uiPriority w:val="39"/>
    <w:rsid w:val="005D568A"/>
    <w:pPr>
      <w:tabs>
        <w:tab w:val="right" w:pos="8505"/>
      </w:tabs>
      <w:spacing w:before="110" w:line="270" w:lineRule="atLeast"/>
      <w:ind w:left="1701" w:right="1134" w:hanging="567"/>
    </w:pPr>
    <w:rPr>
      <w:b/>
    </w:rPr>
  </w:style>
  <w:style w:type="paragraph" w:styleId="TOC4">
    <w:name w:val="toc 4"/>
    <w:basedOn w:val="Normal"/>
    <w:next w:val="Normal"/>
    <w:autoRedefine/>
    <w:uiPriority w:val="39"/>
    <w:semiHidden/>
    <w:rsid w:val="005D568A"/>
    <w:pPr>
      <w:tabs>
        <w:tab w:val="right" w:pos="8505"/>
      </w:tabs>
      <w:spacing w:before="110"/>
      <w:ind w:left="1701" w:right="1134" w:hanging="567"/>
    </w:pPr>
  </w:style>
  <w:style w:type="paragraph" w:styleId="TOC5">
    <w:name w:val="toc 5"/>
    <w:basedOn w:val="Normal"/>
    <w:next w:val="Normal"/>
    <w:autoRedefine/>
    <w:uiPriority w:val="39"/>
    <w:semiHidden/>
    <w:rsid w:val="005D568A"/>
    <w:pPr>
      <w:tabs>
        <w:tab w:val="right" w:pos="8505"/>
      </w:tabs>
      <w:spacing w:before="110" w:after="100"/>
      <w:ind w:left="1134" w:right="1134" w:hanging="567"/>
    </w:pPr>
  </w:style>
  <w:style w:type="paragraph" w:styleId="TOC6">
    <w:name w:val="toc 6"/>
    <w:basedOn w:val="Normal"/>
    <w:next w:val="Normal"/>
    <w:autoRedefine/>
    <w:uiPriority w:val="39"/>
    <w:semiHidden/>
    <w:rsid w:val="005D568A"/>
    <w:pPr>
      <w:tabs>
        <w:tab w:val="right" w:pos="8505"/>
      </w:tabs>
      <w:spacing w:before="110"/>
      <w:ind w:left="1134" w:right="1134" w:hanging="567"/>
    </w:pPr>
  </w:style>
  <w:style w:type="paragraph" w:styleId="TOC7">
    <w:name w:val="toc 7"/>
    <w:basedOn w:val="Normal"/>
    <w:next w:val="Normal"/>
    <w:autoRedefine/>
    <w:uiPriority w:val="39"/>
    <w:semiHidden/>
    <w:rsid w:val="005D568A"/>
    <w:pPr>
      <w:tabs>
        <w:tab w:val="right" w:pos="8505"/>
      </w:tabs>
      <w:spacing w:before="110"/>
      <w:ind w:left="1134" w:right="1134" w:hanging="567"/>
    </w:pPr>
  </w:style>
  <w:style w:type="paragraph" w:styleId="TOC8">
    <w:name w:val="toc 8"/>
    <w:basedOn w:val="Normal"/>
    <w:next w:val="Normal"/>
    <w:autoRedefine/>
    <w:uiPriority w:val="39"/>
    <w:semiHidden/>
    <w:rsid w:val="005D568A"/>
    <w:pPr>
      <w:tabs>
        <w:tab w:val="right" w:pos="8505"/>
      </w:tabs>
      <w:spacing w:before="110"/>
      <w:ind w:left="1134" w:right="1134" w:hanging="567"/>
    </w:pPr>
  </w:style>
  <w:style w:type="paragraph" w:styleId="TOC9">
    <w:name w:val="toc 9"/>
    <w:basedOn w:val="Normal"/>
    <w:next w:val="Normal"/>
    <w:autoRedefine/>
    <w:uiPriority w:val="39"/>
    <w:semiHidden/>
    <w:rsid w:val="005D568A"/>
    <w:pPr>
      <w:tabs>
        <w:tab w:val="right" w:pos="8505"/>
      </w:tabs>
      <w:spacing w:before="110"/>
      <w:ind w:left="1134" w:right="1134" w:hanging="567"/>
    </w:pPr>
  </w:style>
  <w:style w:type="paragraph" w:styleId="TOCHeading">
    <w:name w:val="TOC Heading"/>
    <w:basedOn w:val="Heading6"/>
    <w:next w:val="Normal"/>
    <w:uiPriority w:val="39"/>
    <w:semiHidden/>
    <w:rsid w:val="005D568A"/>
    <w:pPr>
      <w:outlineLvl w:val="9"/>
    </w:pPr>
    <w:rPr>
      <w:rFonts w:eastAsiaTheme="majorEastAsia" w:cstheme="majorBidi"/>
      <w:lang w:eastAsia="ja-JP"/>
    </w:rPr>
  </w:style>
  <w:style w:type="paragraph" w:customStyle="1" w:styleId="zHeaderOdd">
    <w:name w:val="z_Header Odd"/>
    <w:basedOn w:val="Normal"/>
    <w:semiHidden/>
    <w:rsid w:val="005D568A"/>
    <w:pPr>
      <w:tabs>
        <w:tab w:val="right" w:pos="9639"/>
        <w:tab w:val="left" w:pos="10206"/>
      </w:tabs>
      <w:spacing w:line="288" w:lineRule="atLeast"/>
    </w:pPr>
    <w:rPr>
      <w:color w:val="808080" w:themeColor="background1" w:themeShade="80"/>
      <w:sz w:val="18"/>
      <w:szCs w:val="20"/>
    </w:rPr>
  </w:style>
  <w:style w:type="paragraph" w:customStyle="1" w:styleId="zFooterOddPortrait">
    <w:name w:val="z_Footer Odd Portrait"/>
    <w:basedOn w:val="Normal"/>
    <w:semiHidden/>
    <w:rsid w:val="005D568A"/>
    <w:pPr>
      <w:tabs>
        <w:tab w:val="right" w:pos="9072"/>
      </w:tabs>
      <w:spacing w:line="288" w:lineRule="atLeast"/>
      <w:jc w:val="right"/>
    </w:pPr>
    <w:rPr>
      <w:color w:val="808080" w:themeColor="background1" w:themeShade="80"/>
      <w:sz w:val="18"/>
      <w:szCs w:val="20"/>
    </w:rPr>
  </w:style>
  <w:style w:type="paragraph" w:customStyle="1" w:styleId="zHeaderEven">
    <w:name w:val="z_Header Even"/>
    <w:basedOn w:val="zHeaderOdd"/>
    <w:semiHidden/>
    <w:rsid w:val="005D568A"/>
    <w:pPr>
      <w:tabs>
        <w:tab w:val="clear" w:pos="9639"/>
        <w:tab w:val="left" w:pos="0"/>
      </w:tabs>
      <w:ind w:left="-567"/>
    </w:pPr>
  </w:style>
  <w:style w:type="paragraph" w:customStyle="1" w:styleId="zFooterEvenLandscape">
    <w:name w:val="z_Footer Even Landscape"/>
    <w:basedOn w:val="Normal"/>
    <w:semiHidden/>
    <w:rsid w:val="005D568A"/>
    <w:pPr>
      <w:tabs>
        <w:tab w:val="right" w:pos="14005"/>
      </w:tabs>
    </w:pPr>
    <w:rPr>
      <w:szCs w:val="20"/>
    </w:rPr>
  </w:style>
  <w:style w:type="paragraph" w:customStyle="1" w:styleId="zFooterEvenPortrait">
    <w:name w:val="z_Footer Even Portrait"/>
    <w:basedOn w:val="Normal"/>
    <w:semiHidden/>
    <w:rsid w:val="005D568A"/>
    <w:pPr>
      <w:tabs>
        <w:tab w:val="right" w:pos="9072"/>
      </w:tabs>
      <w:spacing w:line="288" w:lineRule="atLeast"/>
    </w:pPr>
    <w:rPr>
      <w:color w:val="808080" w:themeColor="background1" w:themeShade="80"/>
      <w:sz w:val="18"/>
      <w:szCs w:val="20"/>
    </w:rPr>
  </w:style>
  <w:style w:type="paragraph" w:customStyle="1" w:styleId="zFooterOddLandscape">
    <w:name w:val="z_Footer Odd Landscape"/>
    <w:basedOn w:val="Normal"/>
    <w:semiHidden/>
    <w:rsid w:val="005D568A"/>
    <w:pPr>
      <w:tabs>
        <w:tab w:val="right" w:pos="14005"/>
      </w:tabs>
    </w:pPr>
    <w:rPr>
      <w:szCs w:val="20"/>
    </w:rPr>
  </w:style>
  <w:style w:type="paragraph" w:customStyle="1" w:styleId="zInstructionsBullet">
    <w:name w:val="z_Instructions Bullet"/>
    <w:basedOn w:val="zInstructions"/>
    <w:semiHidden/>
    <w:rsid w:val="005D568A"/>
    <w:pPr>
      <w:numPr>
        <w:numId w:val="5"/>
      </w:numPr>
    </w:pPr>
  </w:style>
  <w:style w:type="paragraph" w:customStyle="1" w:styleId="CaptionText">
    <w:name w:val="CaptionText"/>
    <w:basedOn w:val="BodyText"/>
    <w:next w:val="BodyText"/>
    <w:uiPriority w:val="18"/>
    <w:rsid w:val="005D568A"/>
    <w:pPr>
      <w:spacing w:before="120" w:after="120" w:line="260" w:lineRule="atLeast"/>
    </w:pPr>
    <w:rPr>
      <w:rFonts w:eastAsia="Times New Roman"/>
      <w:szCs w:val="24"/>
      <w:lang w:eastAsia="en-GB"/>
    </w:rPr>
  </w:style>
  <w:style w:type="character" w:styleId="CommentReference">
    <w:name w:val="annotation reference"/>
    <w:basedOn w:val="DefaultParagraphFont"/>
    <w:uiPriority w:val="99"/>
    <w:semiHidden/>
    <w:rsid w:val="005D568A"/>
    <w:rPr>
      <w:sz w:val="16"/>
      <w:szCs w:val="16"/>
    </w:rPr>
  </w:style>
  <w:style w:type="paragraph" w:customStyle="1" w:styleId="zTableheading">
    <w:name w:val="z_Table heading"/>
    <w:basedOn w:val="zTablebodytext"/>
    <w:semiHidden/>
    <w:rsid w:val="005D568A"/>
    <w:pPr>
      <w:keepNext/>
      <w:jc w:val="center"/>
    </w:pPr>
    <w:rPr>
      <w:b/>
      <w:color w:val="0038A8"/>
    </w:rPr>
  </w:style>
  <w:style w:type="paragraph" w:customStyle="1" w:styleId="zTablebodytext">
    <w:name w:val="z_Table body text"/>
    <w:basedOn w:val="BodyText"/>
    <w:semiHidden/>
    <w:rsid w:val="005D568A"/>
    <w:pPr>
      <w:spacing w:before="60" w:after="60" w:line="240" w:lineRule="auto"/>
    </w:pPr>
    <w:rPr>
      <w:rFonts w:ascii="Arial" w:eastAsia="Times New Roman" w:hAnsi="Arial"/>
      <w:sz w:val="18"/>
      <w:szCs w:val="24"/>
      <w:lang w:eastAsia="en-GB"/>
    </w:rPr>
  </w:style>
  <w:style w:type="paragraph" w:customStyle="1" w:styleId="Quotation">
    <w:name w:val="Quotation"/>
    <w:basedOn w:val="Normal"/>
    <w:uiPriority w:val="10"/>
    <w:qFormat/>
    <w:rsid w:val="005D568A"/>
    <w:pPr>
      <w:spacing w:before="100" w:after="120" w:line="240" w:lineRule="atLeast"/>
      <w:ind w:left="425" w:right="425"/>
    </w:pPr>
    <w:rPr>
      <w:color w:val="262626" w:themeColor="text1" w:themeTint="D9"/>
      <w:sz w:val="19"/>
    </w:rPr>
  </w:style>
  <w:style w:type="paragraph" w:customStyle="1" w:styleId="Quoteref">
    <w:name w:val="Quote ref"/>
    <w:basedOn w:val="Quotation"/>
    <w:uiPriority w:val="11"/>
    <w:qFormat/>
    <w:rsid w:val="005D568A"/>
    <w:pPr>
      <w:spacing w:line="230" w:lineRule="atLeast"/>
      <w:jc w:val="right"/>
    </w:pPr>
    <w:rPr>
      <w:noProof/>
      <w:color w:val="404040" w:themeColor="text1" w:themeTint="BF"/>
      <w:sz w:val="17"/>
    </w:rPr>
  </w:style>
  <w:style w:type="paragraph" w:customStyle="1" w:styleId="zReportDate">
    <w:name w:val="z_Report Date"/>
    <w:basedOn w:val="BodyText"/>
    <w:semiHidden/>
    <w:rsid w:val="005D568A"/>
    <w:pPr>
      <w:keepNext/>
      <w:spacing w:before="60" w:after="0" w:line="240" w:lineRule="auto"/>
      <w:jc w:val="both"/>
    </w:pPr>
    <w:rPr>
      <w:rFonts w:ascii="Arial" w:eastAsia="Times New Roman" w:hAnsi="Arial"/>
      <w:b/>
      <w:caps/>
      <w:sz w:val="22"/>
      <w:szCs w:val="20"/>
    </w:rPr>
  </w:style>
  <w:style w:type="paragraph" w:customStyle="1" w:styleId="zReportTitle">
    <w:name w:val="z_Report Title"/>
    <w:basedOn w:val="BodyText"/>
    <w:semiHidden/>
    <w:rsid w:val="005D568A"/>
    <w:pPr>
      <w:keepNext/>
      <w:spacing w:before="1440" w:after="284" w:line="240" w:lineRule="auto"/>
      <w:jc w:val="both"/>
    </w:pPr>
    <w:rPr>
      <w:rFonts w:ascii="Arial" w:eastAsia="Times New Roman" w:hAnsi="Arial"/>
      <w:b/>
      <w:sz w:val="60"/>
      <w:szCs w:val="20"/>
    </w:rPr>
  </w:style>
  <w:style w:type="paragraph" w:customStyle="1" w:styleId="zReportSubTitle">
    <w:name w:val="z_Report Sub Title"/>
    <w:basedOn w:val="BodyText"/>
    <w:semiHidden/>
    <w:rsid w:val="005D568A"/>
    <w:pPr>
      <w:keepNext/>
      <w:spacing w:before="60" w:after="1040" w:line="240" w:lineRule="auto"/>
      <w:jc w:val="both"/>
    </w:pPr>
    <w:rPr>
      <w:rFonts w:ascii="Arial" w:eastAsia="Times New Roman" w:hAnsi="Arial"/>
      <w:sz w:val="36"/>
      <w:szCs w:val="20"/>
    </w:rPr>
  </w:style>
  <w:style w:type="paragraph" w:customStyle="1" w:styleId="zReportAuthors">
    <w:name w:val="z_Report Authors"/>
    <w:basedOn w:val="BodyText"/>
    <w:semiHidden/>
    <w:rsid w:val="005D568A"/>
    <w:pPr>
      <w:keepNext/>
      <w:spacing w:before="60" w:after="0" w:line="240" w:lineRule="auto"/>
      <w:jc w:val="both"/>
    </w:pPr>
    <w:rPr>
      <w:rFonts w:eastAsia="Times New Roman"/>
      <w:sz w:val="28"/>
      <w:szCs w:val="20"/>
    </w:rPr>
  </w:style>
  <w:style w:type="paragraph" w:customStyle="1" w:styleId="Questionsummarytext">
    <w:name w:val="Question summary text"/>
    <w:basedOn w:val="BodyText"/>
    <w:uiPriority w:val="20"/>
    <w:semiHidden/>
    <w:rsid w:val="005D568A"/>
    <w:pPr>
      <w:spacing w:before="120" w:after="60"/>
    </w:pPr>
  </w:style>
  <w:style w:type="paragraph" w:customStyle="1" w:styleId="Finding">
    <w:name w:val="Finding"/>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Recommendation">
    <w:name w:val="Recommendation"/>
    <w:basedOn w:val="BodyText"/>
    <w:uiPriority w:val="19"/>
    <w:rsid w:val="005D568A"/>
    <w:pPr>
      <w:spacing w:after="0" w:line="240" w:lineRule="auto"/>
      <w:jc w:val="center"/>
    </w:pPr>
    <w:rPr>
      <w:rFonts w:ascii="AvenirMaoriBold" w:hAnsi="AvenirMaoriBold"/>
      <w:color w:val="FFFFFF" w:themeColor="background1"/>
      <w:sz w:val="24"/>
    </w:rPr>
  </w:style>
  <w:style w:type="paragraph" w:customStyle="1" w:styleId="Notesbodytext">
    <w:name w:val="Notes body text"/>
    <w:basedOn w:val="BodyText"/>
    <w:uiPriority w:val="20"/>
    <w:semiHidden/>
    <w:rsid w:val="005D568A"/>
    <w:pPr>
      <w:numPr>
        <w:numId w:val="16"/>
      </w:numPr>
      <w:spacing w:before="60" w:after="40" w:line="180" w:lineRule="atLeast"/>
    </w:pPr>
    <w:rPr>
      <w:sz w:val="16"/>
    </w:rPr>
  </w:style>
  <w:style w:type="numbering" w:customStyle="1" w:styleId="PCTableNotesList">
    <w:name w:val="PC Table Notes List"/>
    <w:uiPriority w:val="99"/>
    <w:rsid w:val="005D568A"/>
    <w:pPr>
      <w:numPr>
        <w:numId w:val="16"/>
      </w:numPr>
    </w:pPr>
  </w:style>
  <w:style w:type="paragraph" w:customStyle="1" w:styleId="Notesheading">
    <w:name w:val="Notes heading"/>
    <w:basedOn w:val="Notesbodytext"/>
    <w:next w:val="Notesbodytext"/>
    <w:uiPriority w:val="20"/>
    <w:semiHidden/>
    <w:rsid w:val="005D568A"/>
    <w:pPr>
      <w:keepNext/>
      <w:numPr>
        <w:numId w:val="0"/>
      </w:numPr>
    </w:pPr>
    <w:rPr>
      <w:i/>
    </w:rPr>
  </w:style>
  <w:style w:type="numbering" w:customStyle="1" w:styleId="PCTablenoteslist0">
    <w:name w:val="PC Table noteslist"/>
    <w:uiPriority w:val="99"/>
    <w:rsid w:val="005D568A"/>
    <w:pPr>
      <w:numPr>
        <w:numId w:val="7"/>
      </w:numPr>
    </w:pPr>
  </w:style>
  <w:style w:type="paragraph" w:customStyle="1" w:styleId="Bullet2Blue">
    <w:name w:val="Bullet 2 Blue"/>
    <w:basedOn w:val="BodyText"/>
    <w:uiPriority w:val="14"/>
    <w:qFormat/>
    <w:rsid w:val="005D568A"/>
    <w:pPr>
      <w:numPr>
        <w:ilvl w:val="1"/>
        <w:numId w:val="6"/>
      </w:numPr>
    </w:pPr>
  </w:style>
  <w:style w:type="character" w:styleId="EndnoteReference">
    <w:name w:val="endnote reference"/>
    <w:basedOn w:val="DefaultParagraphFont"/>
    <w:semiHidden/>
    <w:rsid w:val="005D568A"/>
    <w:rPr>
      <w:vertAlign w:val="superscript"/>
    </w:rPr>
  </w:style>
  <w:style w:type="numbering" w:customStyle="1" w:styleId="PCTableBulletList">
    <w:name w:val="PC Table Bullet List"/>
    <w:basedOn w:val="NoList"/>
    <w:uiPriority w:val="99"/>
    <w:rsid w:val="005D568A"/>
    <w:pPr>
      <w:numPr>
        <w:numId w:val="14"/>
      </w:numPr>
    </w:pPr>
  </w:style>
  <w:style w:type="numbering" w:customStyle="1" w:styleId="PCTablenotes">
    <w:name w:val="PC Table notes"/>
    <w:uiPriority w:val="99"/>
    <w:rsid w:val="005D568A"/>
    <w:pPr>
      <w:numPr>
        <w:numId w:val="15"/>
      </w:numPr>
    </w:pPr>
  </w:style>
  <w:style w:type="paragraph" w:customStyle="1" w:styleId="TableBullet">
    <w:name w:val="Table Bullet"/>
    <w:basedOn w:val="TableBody"/>
    <w:uiPriority w:val="15"/>
    <w:qFormat/>
    <w:rsid w:val="005D568A"/>
    <w:pPr>
      <w:numPr>
        <w:numId w:val="14"/>
      </w:numPr>
    </w:pPr>
  </w:style>
  <w:style w:type="paragraph" w:styleId="Title">
    <w:name w:val="Title"/>
    <w:basedOn w:val="Normal"/>
    <w:next w:val="Normal"/>
    <w:link w:val="TitleChar"/>
    <w:rsid w:val="005D568A"/>
    <w:pPr>
      <w:pBdr>
        <w:bottom w:val="single" w:sz="8" w:space="4" w:color="4F81BD" w:themeColor="accent1"/>
      </w:pBdr>
      <w:spacing w:after="300"/>
      <w:contextualSpacing/>
    </w:pPr>
    <w:rPr>
      <w:rFonts w:ascii="AvenirMaoriBold" w:eastAsiaTheme="majorEastAsia" w:hAnsi="AvenirMaoriBold" w:cstheme="majorBidi"/>
      <w:color w:val="17365D" w:themeColor="text2" w:themeShade="BF"/>
      <w:spacing w:val="5"/>
      <w:kern w:val="28"/>
      <w:sz w:val="52"/>
      <w:szCs w:val="52"/>
    </w:rPr>
  </w:style>
  <w:style w:type="character" w:customStyle="1" w:styleId="TitleChar">
    <w:name w:val="Title Char"/>
    <w:basedOn w:val="DefaultParagraphFont"/>
    <w:link w:val="Title"/>
    <w:rsid w:val="005D568A"/>
    <w:rPr>
      <w:rFonts w:ascii="AvenirMaoriBold" w:eastAsiaTheme="majorEastAsia" w:hAnsi="AvenirMaoriBold" w:cstheme="majorBidi"/>
      <w:color w:val="17365D" w:themeColor="text2" w:themeShade="BF"/>
      <w:spacing w:val="5"/>
      <w:kern w:val="28"/>
      <w:sz w:val="52"/>
      <w:szCs w:val="52"/>
    </w:rPr>
  </w:style>
  <w:style w:type="character" w:customStyle="1" w:styleId="Boxcharacter">
    <w:name w:val="Box character"/>
    <w:basedOn w:val="DefaultParagraphFont"/>
    <w:uiPriority w:val="18"/>
    <w:qFormat/>
    <w:rsid w:val="005D568A"/>
    <w:rPr>
      <w:b/>
    </w:rPr>
  </w:style>
  <w:style w:type="paragraph" w:customStyle="1" w:styleId="NumberedHeading3">
    <w:name w:val="Numbered Heading 3"/>
    <w:basedOn w:val="Normal"/>
    <w:next w:val="BodyText"/>
    <w:uiPriority w:val="2"/>
    <w:qFormat/>
    <w:rsid w:val="005D568A"/>
    <w:pPr>
      <w:keepNext/>
      <w:keepLines/>
      <w:numPr>
        <w:ilvl w:val="2"/>
        <w:numId w:val="12"/>
      </w:numPr>
      <w:spacing w:before="40" w:after="80" w:line="300" w:lineRule="atLeast"/>
      <w:outlineLvl w:val="2"/>
    </w:pPr>
    <w:rPr>
      <w:rFonts w:ascii="AvenirMaoriBold" w:hAnsi="AvenirMaoriBold"/>
      <w:sz w:val="26"/>
    </w:rPr>
  </w:style>
  <w:style w:type="paragraph" w:customStyle="1" w:styleId="Appendixsubheading">
    <w:name w:val="Appendix sub heading"/>
    <w:basedOn w:val="Normal"/>
    <w:next w:val="BodyText"/>
    <w:uiPriority w:val="19"/>
    <w:qFormat/>
    <w:rsid w:val="005D568A"/>
    <w:pPr>
      <w:keepNext/>
      <w:keepLines/>
      <w:numPr>
        <w:ilvl w:val="1"/>
        <w:numId w:val="9"/>
      </w:numPr>
      <w:spacing w:before="160" w:after="160" w:line="340" w:lineRule="atLeast"/>
      <w:outlineLvl w:val="1"/>
    </w:pPr>
    <w:rPr>
      <w:rFonts w:ascii="AvenirMaoriBold" w:hAnsi="AvenirMaoriBold"/>
      <w:color w:val="4298B5"/>
      <w:sz w:val="30"/>
    </w:rPr>
  </w:style>
  <w:style w:type="paragraph" w:customStyle="1" w:styleId="OverviewCaption">
    <w:name w:val="Overview Caption"/>
    <w:basedOn w:val="BodyText"/>
    <w:next w:val="BodyText"/>
    <w:uiPriority w:val="19"/>
    <w:qFormat/>
    <w:rsid w:val="005D568A"/>
    <w:pPr>
      <w:keepNext/>
      <w:numPr>
        <w:numId w:val="17"/>
      </w:numPr>
      <w:spacing w:before="120" w:after="120" w:line="260" w:lineRule="atLeast"/>
    </w:pPr>
    <w:rPr>
      <w:b/>
    </w:rPr>
  </w:style>
  <w:style w:type="paragraph" w:customStyle="1" w:styleId="OverviewHeading2">
    <w:name w:val="Overview Heading 2"/>
    <w:basedOn w:val="Normal"/>
    <w:next w:val="BodyText"/>
    <w:uiPriority w:val="19"/>
    <w:qFormat/>
    <w:rsid w:val="005D568A"/>
    <w:pPr>
      <w:keepNext/>
      <w:keepLines/>
      <w:spacing w:before="160" w:after="160" w:line="340" w:lineRule="atLeast"/>
      <w:outlineLvl w:val="1"/>
    </w:pPr>
    <w:rPr>
      <w:rFonts w:ascii="AvenirMaoriBold" w:hAnsi="AvenirMaoriBold"/>
      <w:color w:val="4298B5"/>
      <w:sz w:val="30"/>
    </w:rPr>
  </w:style>
  <w:style w:type="numbering" w:customStyle="1" w:styleId="PCOverviewCaptionlist">
    <w:name w:val="PC Overview Caption list"/>
    <w:basedOn w:val="NoList"/>
    <w:uiPriority w:val="99"/>
    <w:rsid w:val="005D568A"/>
    <w:pPr>
      <w:numPr>
        <w:numId w:val="17"/>
      </w:numPr>
    </w:pPr>
  </w:style>
  <w:style w:type="paragraph" w:styleId="BodyTextIndent">
    <w:name w:val="Body Text Indent"/>
    <w:basedOn w:val="Normal"/>
    <w:link w:val="BodyTextIndentChar"/>
    <w:uiPriority w:val="9"/>
    <w:rsid w:val="005D568A"/>
    <w:pPr>
      <w:spacing w:after="120"/>
      <w:ind w:left="283"/>
    </w:pPr>
  </w:style>
  <w:style w:type="character" w:customStyle="1" w:styleId="BodyTextIndentChar">
    <w:name w:val="Body Text Indent Char"/>
    <w:basedOn w:val="DefaultParagraphFont"/>
    <w:link w:val="BodyTextIndent"/>
    <w:uiPriority w:val="9"/>
    <w:rsid w:val="005D568A"/>
    <w:rPr>
      <w:rFonts w:ascii="AvenirMaoriLight" w:eastAsia="Calibri" w:hAnsi="AvenirMaoriLight" w:cs="Times New Roman"/>
      <w:sz w:val="20"/>
    </w:rPr>
  </w:style>
  <w:style w:type="paragraph" w:styleId="CommentText">
    <w:name w:val="annotation text"/>
    <w:basedOn w:val="Normal"/>
    <w:link w:val="CommentTextChar"/>
    <w:uiPriority w:val="99"/>
    <w:semiHidden/>
    <w:rsid w:val="005D568A"/>
    <w:rPr>
      <w:szCs w:val="20"/>
    </w:rPr>
  </w:style>
  <w:style w:type="character" w:customStyle="1" w:styleId="CommentTextChar">
    <w:name w:val="Comment Text Char"/>
    <w:basedOn w:val="DefaultParagraphFont"/>
    <w:link w:val="CommentText"/>
    <w:uiPriority w:val="99"/>
    <w:semiHidden/>
    <w:rsid w:val="005D568A"/>
    <w:rPr>
      <w:rFonts w:ascii="AvenirMaoriLight" w:eastAsia="Calibri" w:hAnsi="AvenirMaoriLight" w:cs="Times New Roman"/>
      <w:sz w:val="20"/>
      <w:szCs w:val="20"/>
    </w:rPr>
  </w:style>
  <w:style w:type="character" w:styleId="LineNumber">
    <w:name w:val="line number"/>
    <w:basedOn w:val="DefaultParagraphFont"/>
    <w:semiHidden/>
    <w:rsid w:val="005D568A"/>
  </w:style>
  <w:style w:type="table" w:styleId="LightShading">
    <w:name w:val="Light Shading"/>
    <w:basedOn w:val="TableNormal"/>
    <w:uiPriority w:val="60"/>
    <w:rsid w:val="005D568A"/>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5D568A"/>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5D568A"/>
    <w:pPr>
      <w:spacing w:before="100" w:beforeAutospacing="1" w:after="100" w:afterAutospacing="1"/>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F50BF3"/>
  </w:style>
  <w:style w:type="character" w:styleId="Emphasis">
    <w:name w:val="Emphasis"/>
    <w:basedOn w:val="DefaultParagraphFont"/>
    <w:uiPriority w:val="20"/>
    <w:qFormat/>
    <w:rsid w:val="006270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08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productivity.govt.nz/inquiry-content/15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chart" Target="charts/chart2.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Guanyu.zheng@productivity.govt.n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hengg\AppData\Local\Microsoft\Windows\Temporary%20Internet%20Files\Content.Outlook\76SW6GRV\PIQ900079_History%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engg\AppData\Local\Microsoft\Windows\Temporary%20Internet%20Files\Content.Outlook\76SW6GRV\PIQ900079_History%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74163333619498"/>
          <c:y val="7.396096804616778E-2"/>
          <c:w val="0.60120516051575079"/>
          <c:h val="0.47971313838766172"/>
        </c:manualLayout>
      </c:layout>
      <c:barChart>
        <c:barDir val="col"/>
        <c:grouping val="clustered"/>
        <c:varyColors val="0"/>
        <c:ser>
          <c:idx val="0"/>
          <c:order val="0"/>
          <c:tx>
            <c:v>Land</c:v>
          </c:tx>
          <c:invertIfNegative val="0"/>
          <c:cat>
            <c:strRef>
              <c:f>'[PIQ900079_History (18).xlsx]Sheet3'!$A$3:$A$12</c:f>
              <c:strCache>
                <c:ptCount val="10"/>
                <c:pt idx="0">
                  <c:v>Auckland  City</c:v>
                </c:pt>
                <c:pt idx="1">
                  <c:v>Auckland - Franklin</c:v>
                </c:pt>
                <c:pt idx="2">
                  <c:v>Auckland - Manukau</c:v>
                </c:pt>
                <c:pt idx="3">
                  <c:v>Auckland - North Shore</c:v>
                </c:pt>
                <c:pt idx="4">
                  <c:v>Auckland - Papakura</c:v>
                </c:pt>
                <c:pt idx="5">
                  <c:v>Auckland - Rodney</c:v>
                </c:pt>
                <c:pt idx="6">
                  <c:v>Auckland - Waitakere</c:v>
                </c:pt>
                <c:pt idx="7">
                  <c:v>Christchurch City</c:v>
                </c:pt>
                <c:pt idx="8">
                  <c:v>Hamilton City</c:v>
                </c:pt>
                <c:pt idx="9">
                  <c:v>Wellington City</c:v>
                </c:pt>
              </c:strCache>
            </c:strRef>
          </c:cat>
          <c:val>
            <c:numRef>
              <c:f>'[PIQ900079_History (18).xlsx]Sheet3'!$B$3:$B$12</c:f>
              <c:numCache>
                <c:formatCode>0%</c:formatCode>
                <c:ptCount val="10"/>
                <c:pt idx="0">
                  <c:v>0.81493492154561409</c:v>
                </c:pt>
                <c:pt idx="1">
                  <c:v>2.5512805382181627</c:v>
                </c:pt>
                <c:pt idx="2">
                  <c:v>1.8097063706172687</c:v>
                </c:pt>
                <c:pt idx="3">
                  <c:v>1.0552824424057965</c:v>
                </c:pt>
                <c:pt idx="4">
                  <c:v>2.3107566636982453</c:v>
                </c:pt>
                <c:pt idx="5">
                  <c:v>1.2446612258166962</c:v>
                </c:pt>
                <c:pt idx="6">
                  <c:v>0.98761623257818631</c:v>
                </c:pt>
                <c:pt idx="7">
                  <c:v>0.47335023691807032</c:v>
                </c:pt>
                <c:pt idx="8">
                  <c:v>1.9828614744172084</c:v>
                </c:pt>
                <c:pt idx="9">
                  <c:v>1.4224187440882441</c:v>
                </c:pt>
              </c:numCache>
            </c:numRef>
          </c:val>
        </c:ser>
        <c:ser>
          <c:idx val="1"/>
          <c:order val="1"/>
          <c:tx>
            <c:v>Capital</c:v>
          </c:tx>
          <c:invertIfNegative val="0"/>
          <c:cat>
            <c:strRef>
              <c:f>'[PIQ900079_History (18).xlsx]Sheet3'!$A$3:$A$12</c:f>
              <c:strCache>
                <c:ptCount val="10"/>
                <c:pt idx="0">
                  <c:v>Auckland  City</c:v>
                </c:pt>
                <c:pt idx="1">
                  <c:v>Auckland - Franklin</c:v>
                </c:pt>
                <c:pt idx="2">
                  <c:v>Auckland - Manukau</c:v>
                </c:pt>
                <c:pt idx="3">
                  <c:v>Auckland - North Shore</c:v>
                </c:pt>
                <c:pt idx="4">
                  <c:v>Auckland - Papakura</c:v>
                </c:pt>
                <c:pt idx="5">
                  <c:v>Auckland - Rodney</c:v>
                </c:pt>
                <c:pt idx="6">
                  <c:v>Auckland - Waitakere</c:v>
                </c:pt>
                <c:pt idx="7">
                  <c:v>Christchurch City</c:v>
                </c:pt>
                <c:pt idx="8">
                  <c:v>Hamilton City</c:v>
                </c:pt>
                <c:pt idx="9">
                  <c:v>Wellington City</c:v>
                </c:pt>
              </c:strCache>
            </c:strRef>
          </c:cat>
          <c:val>
            <c:numRef>
              <c:f>'[PIQ900079_History (18).xlsx]Sheet3'!$C$3:$C$12</c:f>
              <c:numCache>
                <c:formatCode>0%</c:formatCode>
                <c:ptCount val="10"/>
                <c:pt idx="0">
                  <c:v>0.6925583722229387</c:v>
                </c:pt>
                <c:pt idx="1">
                  <c:v>1.4856272867547049</c:v>
                </c:pt>
                <c:pt idx="2">
                  <c:v>0.76461314683030279</c:v>
                </c:pt>
                <c:pt idx="3">
                  <c:v>0.74773278401649568</c:v>
                </c:pt>
                <c:pt idx="4">
                  <c:v>1.0988042029200877</c:v>
                </c:pt>
                <c:pt idx="5">
                  <c:v>0.94989151745600786</c:v>
                </c:pt>
                <c:pt idx="6">
                  <c:v>0.5746858788770276</c:v>
                </c:pt>
                <c:pt idx="7">
                  <c:v>0.49471266048639806</c:v>
                </c:pt>
                <c:pt idx="8">
                  <c:v>1.1098716757912288</c:v>
                </c:pt>
                <c:pt idx="9">
                  <c:v>0.92354053463124841</c:v>
                </c:pt>
              </c:numCache>
            </c:numRef>
          </c:val>
        </c:ser>
        <c:dLbls>
          <c:showLegendKey val="0"/>
          <c:showVal val="0"/>
          <c:showCatName val="0"/>
          <c:showSerName val="0"/>
          <c:showPercent val="0"/>
          <c:showBubbleSize val="0"/>
        </c:dLbls>
        <c:gapWidth val="150"/>
        <c:axId val="250327552"/>
        <c:axId val="248397824"/>
      </c:barChart>
      <c:catAx>
        <c:axId val="250327552"/>
        <c:scaling>
          <c:orientation val="minMax"/>
        </c:scaling>
        <c:delete val="0"/>
        <c:axPos val="b"/>
        <c:majorTickMark val="out"/>
        <c:minorTickMark val="none"/>
        <c:tickLblPos val="nextTo"/>
        <c:txPr>
          <a:bodyPr/>
          <a:lstStyle/>
          <a:p>
            <a:pPr>
              <a:defRPr sz="800"/>
            </a:pPr>
            <a:endParaRPr lang="en-US"/>
          </a:p>
        </c:txPr>
        <c:crossAx val="248397824"/>
        <c:crosses val="autoZero"/>
        <c:auto val="1"/>
        <c:lblAlgn val="ctr"/>
        <c:lblOffset val="100"/>
        <c:noMultiLvlLbl val="0"/>
      </c:catAx>
      <c:valAx>
        <c:axId val="248397824"/>
        <c:scaling>
          <c:orientation val="minMax"/>
        </c:scaling>
        <c:delete val="0"/>
        <c:axPos val="l"/>
        <c:majorGridlines/>
        <c:numFmt formatCode="0%" sourceLinked="1"/>
        <c:majorTickMark val="out"/>
        <c:minorTickMark val="none"/>
        <c:tickLblPos val="nextTo"/>
        <c:crossAx val="250327552"/>
        <c:crosses val="autoZero"/>
        <c:crossBetween val="between"/>
      </c:valAx>
    </c:plotArea>
    <c:legend>
      <c:legendPos val="r"/>
      <c:layout>
        <c:manualLayout>
          <c:xMode val="edge"/>
          <c:yMode val="edge"/>
          <c:x val="0.6773462030833014"/>
          <c:y val="0.71218532769955045"/>
          <c:w val="0.17941057230242496"/>
          <c:h val="0.2409236492348557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5460567429072"/>
          <c:y val="7.3627826537389876E-2"/>
          <c:w val="0.65151012373453321"/>
          <c:h val="0.48255805164374327"/>
        </c:manualLayout>
      </c:layout>
      <c:barChart>
        <c:barDir val="col"/>
        <c:grouping val="clustered"/>
        <c:varyColors val="0"/>
        <c:ser>
          <c:idx val="0"/>
          <c:order val="0"/>
          <c:tx>
            <c:v>2000</c:v>
          </c:tx>
          <c:invertIfNegative val="0"/>
          <c:cat>
            <c:strRef>
              <c:f>'[PIQ900079_History (18).xlsx]Sheet3'!$B$22:$K$22</c:f>
              <c:strCache>
                <c:ptCount val="10"/>
                <c:pt idx="0">
                  <c:v>Auckland  City</c:v>
                </c:pt>
                <c:pt idx="1">
                  <c:v>Auckland - Franklin</c:v>
                </c:pt>
                <c:pt idx="2">
                  <c:v>Auckland - Manukau</c:v>
                </c:pt>
                <c:pt idx="3">
                  <c:v>Auckland - North Shore</c:v>
                </c:pt>
                <c:pt idx="4">
                  <c:v>Auckland - Papakura</c:v>
                </c:pt>
                <c:pt idx="5">
                  <c:v>Auckland - Rodney</c:v>
                </c:pt>
                <c:pt idx="6">
                  <c:v>Auckland - Waitakere</c:v>
                </c:pt>
                <c:pt idx="7">
                  <c:v>Christchurch City</c:v>
                </c:pt>
                <c:pt idx="8">
                  <c:v>Hamilton City</c:v>
                </c:pt>
                <c:pt idx="9">
                  <c:v>Wellington City</c:v>
                </c:pt>
              </c:strCache>
            </c:strRef>
          </c:cat>
          <c:val>
            <c:numRef>
              <c:f>'[PIQ900079_History (18).xlsx]Sheet3'!$B$23:$K$23</c:f>
              <c:numCache>
                <c:formatCode>0%</c:formatCode>
                <c:ptCount val="10"/>
                <c:pt idx="0">
                  <c:v>0.58078772490556385</c:v>
                </c:pt>
                <c:pt idx="1">
                  <c:v>0.39237025304563866</c:v>
                </c:pt>
                <c:pt idx="2">
                  <c:v>0.35686426693287387</c:v>
                </c:pt>
                <c:pt idx="3">
                  <c:v>0.50766673459406153</c:v>
                </c:pt>
                <c:pt idx="4">
                  <c:v>0.377015693428563</c:v>
                </c:pt>
                <c:pt idx="5">
                  <c:v>0.47431513442178225</c:v>
                </c:pt>
                <c:pt idx="6">
                  <c:v>0.35270743114702374</c:v>
                </c:pt>
                <c:pt idx="7">
                  <c:v>0.46112992392063662</c:v>
                </c:pt>
                <c:pt idx="8">
                  <c:v>0.34836840770186522</c:v>
                </c:pt>
                <c:pt idx="9">
                  <c:v>0.37089969110720411</c:v>
                </c:pt>
              </c:numCache>
            </c:numRef>
          </c:val>
        </c:ser>
        <c:ser>
          <c:idx val="1"/>
          <c:order val="1"/>
          <c:tx>
            <c:v>2007</c:v>
          </c:tx>
          <c:invertIfNegative val="0"/>
          <c:cat>
            <c:strRef>
              <c:f>'[PIQ900079_History (18).xlsx]Sheet3'!$B$22:$K$22</c:f>
              <c:strCache>
                <c:ptCount val="10"/>
                <c:pt idx="0">
                  <c:v>Auckland  City</c:v>
                </c:pt>
                <c:pt idx="1">
                  <c:v>Auckland - Franklin</c:v>
                </c:pt>
                <c:pt idx="2">
                  <c:v>Auckland - Manukau</c:v>
                </c:pt>
                <c:pt idx="3">
                  <c:v>Auckland - North Shore</c:v>
                </c:pt>
                <c:pt idx="4">
                  <c:v>Auckland - Papakura</c:v>
                </c:pt>
                <c:pt idx="5">
                  <c:v>Auckland - Rodney</c:v>
                </c:pt>
                <c:pt idx="6">
                  <c:v>Auckland - Waitakere</c:v>
                </c:pt>
                <c:pt idx="7">
                  <c:v>Christchurch City</c:v>
                </c:pt>
                <c:pt idx="8">
                  <c:v>Hamilton City</c:v>
                </c:pt>
                <c:pt idx="9">
                  <c:v>Wellington City</c:v>
                </c:pt>
              </c:strCache>
            </c:strRef>
          </c:cat>
          <c:val>
            <c:numRef>
              <c:f>'[PIQ900079_History (18).xlsx]Sheet3'!$B$24:$K$24</c:f>
              <c:numCache>
                <c:formatCode>0%</c:formatCode>
                <c:ptCount val="10"/>
                <c:pt idx="0">
                  <c:v>0.62278024866683535</c:v>
                </c:pt>
                <c:pt idx="1">
                  <c:v>0.56058961487986814</c:v>
                </c:pt>
                <c:pt idx="2">
                  <c:v>0.56821734896854481</c:v>
                </c:pt>
                <c:pt idx="3">
                  <c:v>0.59700117532086661</c:v>
                </c:pt>
                <c:pt idx="4">
                  <c:v>0.59472304162569645</c:v>
                </c:pt>
                <c:pt idx="5">
                  <c:v>0.54601847411679394</c:v>
                </c:pt>
                <c:pt idx="6">
                  <c:v>0.4451980073630446</c:v>
                </c:pt>
                <c:pt idx="7">
                  <c:v>0.45453945806372853</c:v>
                </c:pt>
                <c:pt idx="8">
                  <c:v>0.49251085464630034</c:v>
                </c:pt>
                <c:pt idx="9">
                  <c:v>0.46709406312920382</c:v>
                </c:pt>
              </c:numCache>
            </c:numRef>
          </c:val>
        </c:ser>
        <c:dLbls>
          <c:showLegendKey val="0"/>
          <c:showVal val="0"/>
          <c:showCatName val="0"/>
          <c:showSerName val="0"/>
          <c:showPercent val="0"/>
          <c:showBubbleSize val="0"/>
        </c:dLbls>
        <c:gapWidth val="150"/>
        <c:axId val="250328576"/>
        <c:axId val="248401280"/>
      </c:barChart>
      <c:catAx>
        <c:axId val="250328576"/>
        <c:scaling>
          <c:orientation val="minMax"/>
        </c:scaling>
        <c:delete val="0"/>
        <c:axPos val="b"/>
        <c:majorTickMark val="out"/>
        <c:minorTickMark val="none"/>
        <c:tickLblPos val="nextTo"/>
        <c:txPr>
          <a:bodyPr/>
          <a:lstStyle/>
          <a:p>
            <a:pPr>
              <a:defRPr sz="800"/>
            </a:pPr>
            <a:endParaRPr lang="en-US"/>
          </a:p>
        </c:txPr>
        <c:crossAx val="248401280"/>
        <c:crosses val="autoZero"/>
        <c:auto val="1"/>
        <c:lblAlgn val="ctr"/>
        <c:lblOffset val="100"/>
        <c:noMultiLvlLbl val="0"/>
      </c:catAx>
      <c:valAx>
        <c:axId val="248401280"/>
        <c:scaling>
          <c:orientation val="minMax"/>
        </c:scaling>
        <c:delete val="0"/>
        <c:axPos val="l"/>
        <c:majorGridlines/>
        <c:numFmt formatCode="0%" sourceLinked="1"/>
        <c:majorTickMark val="out"/>
        <c:minorTickMark val="none"/>
        <c:tickLblPos val="nextTo"/>
        <c:crossAx val="250328576"/>
        <c:crosses val="autoZero"/>
        <c:crossBetween val="between"/>
        <c:majorUnit val="0.2"/>
      </c:valAx>
    </c:plotArea>
    <c:legend>
      <c:legendPos val="r"/>
      <c:layout>
        <c:manualLayout>
          <c:xMode val="edge"/>
          <c:yMode val="edge"/>
          <c:x val="0.74202912135983035"/>
          <c:y val="0.71200702692699669"/>
          <c:w val="0.12305024371953509"/>
          <c:h val="0.2077997352570279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Lower-quantile</c:v>
          </c:tx>
          <c:invertIfNegative val="0"/>
          <c:cat>
            <c:strRef>
              <c:f>Sheet1!$Y$4:$Y$6</c:f>
              <c:strCache>
                <c:ptCount val="3"/>
                <c:pt idx="0">
                  <c:v>Relative price difference between MUL1 and MUL2</c:v>
                </c:pt>
                <c:pt idx="1">
                  <c:v>Relative price difference between MUL2 and MUL3</c:v>
                </c:pt>
                <c:pt idx="2">
                  <c:v>Relative price difference between MUL3 and MUL4</c:v>
                </c:pt>
              </c:strCache>
            </c:strRef>
          </c:cat>
          <c:val>
            <c:numRef>
              <c:f>Sheet1!$X$4:$X$6</c:f>
              <c:numCache>
                <c:formatCode>0.0</c:formatCode>
                <c:ptCount val="3"/>
                <c:pt idx="0">
                  <c:v>0.59586931981330971</c:v>
                </c:pt>
                <c:pt idx="1">
                  <c:v>7.1209689648125618</c:v>
                </c:pt>
                <c:pt idx="2">
                  <c:v>0.8402962045111666</c:v>
                </c:pt>
              </c:numCache>
            </c:numRef>
          </c:val>
        </c:ser>
        <c:ser>
          <c:idx val="1"/>
          <c:order val="1"/>
          <c:tx>
            <c:v>Median</c:v>
          </c:tx>
          <c:invertIfNegative val="0"/>
          <c:cat>
            <c:strRef>
              <c:f>Sheet1!$Y$4:$Y$6</c:f>
              <c:strCache>
                <c:ptCount val="3"/>
                <c:pt idx="0">
                  <c:v>Relative price difference between MUL1 and MUL2</c:v>
                </c:pt>
                <c:pt idx="1">
                  <c:v>Relative price difference between MUL2 and MUL3</c:v>
                </c:pt>
                <c:pt idx="2">
                  <c:v>Relative price difference between MUL3 and MUL4</c:v>
                </c:pt>
              </c:strCache>
            </c:strRef>
          </c:cat>
          <c:val>
            <c:numRef>
              <c:f>Sheet1!$X$10:$X$12</c:f>
              <c:numCache>
                <c:formatCode>0.0</c:formatCode>
                <c:ptCount val="3"/>
                <c:pt idx="0">
                  <c:v>1.0144375620953376</c:v>
                </c:pt>
                <c:pt idx="1">
                  <c:v>3.5295760232768161</c:v>
                </c:pt>
                <c:pt idx="2">
                  <c:v>0.94336195581635685</c:v>
                </c:pt>
              </c:numCache>
            </c:numRef>
          </c:val>
        </c:ser>
        <c:ser>
          <c:idx val="2"/>
          <c:order val="2"/>
          <c:tx>
            <c:v>Upper-quantile</c:v>
          </c:tx>
          <c:invertIfNegative val="0"/>
          <c:cat>
            <c:strRef>
              <c:f>Sheet1!$Y$4:$Y$6</c:f>
              <c:strCache>
                <c:ptCount val="3"/>
                <c:pt idx="0">
                  <c:v>Relative price difference between MUL1 and MUL2</c:v>
                </c:pt>
                <c:pt idx="1">
                  <c:v>Relative price difference between MUL2 and MUL3</c:v>
                </c:pt>
                <c:pt idx="2">
                  <c:v>Relative price difference between MUL3 and MUL4</c:v>
                </c:pt>
              </c:strCache>
            </c:strRef>
          </c:cat>
          <c:val>
            <c:numRef>
              <c:f>Sheet1!$X$16:$X$18</c:f>
              <c:numCache>
                <c:formatCode>0.0</c:formatCode>
                <c:ptCount val="3"/>
                <c:pt idx="0">
                  <c:v>1.1687209998574917</c:v>
                </c:pt>
                <c:pt idx="1">
                  <c:v>0.95103889780400674</c:v>
                </c:pt>
                <c:pt idx="2">
                  <c:v>0.46853693429852106</c:v>
                </c:pt>
              </c:numCache>
            </c:numRef>
          </c:val>
        </c:ser>
        <c:dLbls>
          <c:showLegendKey val="0"/>
          <c:showVal val="0"/>
          <c:showCatName val="0"/>
          <c:showSerName val="0"/>
          <c:showPercent val="0"/>
          <c:showBubbleSize val="0"/>
        </c:dLbls>
        <c:gapWidth val="150"/>
        <c:axId val="250329600"/>
        <c:axId val="248403008"/>
      </c:barChart>
      <c:catAx>
        <c:axId val="250329600"/>
        <c:scaling>
          <c:orientation val="minMax"/>
        </c:scaling>
        <c:delete val="0"/>
        <c:axPos val="b"/>
        <c:majorTickMark val="out"/>
        <c:minorTickMark val="none"/>
        <c:tickLblPos val="nextTo"/>
        <c:crossAx val="248403008"/>
        <c:crosses val="autoZero"/>
        <c:auto val="1"/>
        <c:lblAlgn val="ctr"/>
        <c:lblOffset val="100"/>
        <c:noMultiLvlLbl val="0"/>
      </c:catAx>
      <c:valAx>
        <c:axId val="248403008"/>
        <c:scaling>
          <c:orientation val="minMax"/>
        </c:scaling>
        <c:delete val="0"/>
        <c:axPos val="l"/>
        <c:majorGridlines/>
        <c:numFmt formatCode="0" sourceLinked="0"/>
        <c:majorTickMark val="out"/>
        <c:minorTickMark val="none"/>
        <c:tickLblPos val="nextTo"/>
        <c:crossAx val="2503296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56116-E5FB-4C21-A961-A03F2514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4350</TotalTime>
  <Pages>18</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Kavanagh</dc:creator>
  <cp:lastModifiedBy>Guanyu Zheng</cp:lastModifiedBy>
  <cp:revision>5</cp:revision>
  <cp:lastPrinted>2012-06-12T22:08:00Z</cp:lastPrinted>
  <dcterms:created xsi:type="dcterms:W3CDTF">2012-06-14T03:29:00Z</dcterms:created>
  <dcterms:modified xsi:type="dcterms:W3CDTF">2012-06-21T02:34:00Z</dcterms:modified>
</cp:coreProperties>
</file>